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4C5A1" w14:textId="297A0462" w:rsidR="00851A19" w:rsidRPr="00D410B7" w:rsidRDefault="00851A19" w:rsidP="00851A19">
      <w:pPr>
        <w:rPr>
          <w:rFonts w:ascii="Arial" w:hAnsi="Arial" w:cs="Arial"/>
          <w:b/>
          <w:bCs/>
        </w:rPr>
      </w:pPr>
      <w:r w:rsidRPr="00D410B7">
        <w:rPr>
          <w:rFonts w:ascii="Arial" w:hAnsi="Arial" w:cs="Arial"/>
          <w:b/>
          <w:bCs/>
        </w:rPr>
        <w:t>The student journey from recruitment to employment as social workers - BSC Hons Social Work, University of the West of England</w:t>
      </w:r>
    </w:p>
    <w:p w14:paraId="168E7BE5" w14:textId="77777777" w:rsidR="00851A19" w:rsidRPr="00D410B7" w:rsidRDefault="00851A19" w:rsidP="00851A19">
      <w:pPr>
        <w:rPr>
          <w:rFonts w:ascii="Arial" w:hAnsi="Arial" w:cs="Arial"/>
          <w:b/>
          <w:bCs/>
        </w:rPr>
      </w:pPr>
    </w:p>
    <w:p w14:paraId="7333C1D3" w14:textId="6398BC58" w:rsidR="00851A19" w:rsidRDefault="00851A19" w:rsidP="00851A19">
      <w:pPr>
        <w:rPr>
          <w:rFonts w:ascii="Arial" w:hAnsi="Arial" w:cs="Arial"/>
          <w:b/>
          <w:bCs/>
        </w:rPr>
      </w:pPr>
      <w:r w:rsidRPr="00D410B7">
        <w:rPr>
          <w:rFonts w:ascii="Arial" w:hAnsi="Arial" w:cs="Arial"/>
          <w:b/>
          <w:bCs/>
        </w:rPr>
        <w:t xml:space="preserve">Entry </w:t>
      </w:r>
      <w:r w:rsidR="00D410B7" w:rsidRPr="00D410B7">
        <w:rPr>
          <w:rFonts w:ascii="Arial" w:hAnsi="Arial" w:cs="Arial"/>
          <w:b/>
          <w:bCs/>
        </w:rPr>
        <w:t xml:space="preserve">to Programme </w:t>
      </w:r>
    </w:p>
    <w:p w14:paraId="757E60BF" w14:textId="77777777" w:rsidR="00D410B7" w:rsidRPr="00D410B7" w:rsidRDefault="00D410B7" w:rsidP="00851A19">
      <w:pPr>
        <w:rPr>
          <w:rFonts w:ascii="Arial" w:hAnsi="Arial" w:cs="Arial"/>
          <w:b/>
          <w:bCs/>
        </w:rPr>
      </w:pPr>
    </w:p>
    <w:p w14:paraId="239FC05A" w14:textId="77777777" w:rsidR="00851A19" w:rsidRPr="00851A19" w:rsidRDefault="00851A19" w:rsidP="00851A19">
      <w:pPr>
        <w:rPr>
          <w:rFonts w:ascii="Arial" w:hAnsi="Arial" w:cs="Arial"/>
          <w:bCs/>
          <w:color w:val="00B050"/>
        </w:rPr>
      </w:pPr>
      <w:r w:rsidRPr="00851A19">
        <w:rPr>
          <w:rFonts w:ascii="Arial" w:hAnsi="Arial" w:cs="Arial"/>
          <w:color w:val="5B9BD5" w:themeColor="accent1"/>
        </w:rPr>
        <w:t>PCF: By the point of entry to SW qualifying programmes, prospective students/candidates should demonstrate awareness of social context for social work practice, awareness of self, ability to develop rapport and potential to develop relevant knowledge, skills and values through professional training.</w:t>
      </w:r>
      <w:r w:rsidRPr="00851A19">
        <w:rPr>
          <w:rFonts w:ascii="Arial" w:hAnsi="Arial" w:cs="Arial"/>
          <w:b/>
          <w:bCs/>
          <w:color w:val="5B9BD5" w:themeColor="accent1"/>
        </w:rPr>
        <w:t xml:space="preserve"> </w:t>
      </w:r>
    </w:p>
    <w:p w14:paraId="42A30A8C" w14:textId="77777777" w:rsidR="00851A19" w:rsidRPr="00851A19" w:rsidRDefault="00851A19" w:rsidP="00851A19">
      <w:pPr>
        <w:rPr>
          <w:rFonts w:ascii="Arial" w:hAnsi="Arial" w:cs="Arial"/>
          <w:bCs/>
        </w:rPr>
      </w:pPr>
      <w:r w:rsidRPr="00851A19">
        <w:rPr>
          <w:rFonts w:ascii="Arial" w:hAnsi="Arial" w:cs="Arial"/>
          <w:bCs/>
        </w:rPr>
        <w:t>Information:  webpage and Open Days on full-time &amp; part-time course and social work role/profession</w:t>
      </w:r>
    </w:p>
    <w:p w14:paraId="03D86C23" w14:textId="69C685D0" w:rsidR="00851A19" w:rsidRPr="00851A19" w:rsidRDefault="00851A19" w:rsidP="00851A19">
      <w:pPr>
        <w:rPr>
          <w:rFonts w:ascii="Arial" w:hAnsi="Arial" w:cs="Arial"/>
          <w:bCs/>
        </w:rPr>
      </w:pPr>
      <w:r w:rsidRPr="00851A19">
        <w:rPr>
          <w:rFonts w:ascii="Arial" w:hAnsi="Arial" w:cs="Arial"/>
          <w:bCs/>
          <w:lang w:val="en-US"/>
        </w:rPr>
        <w:t>Entry requirements:  300 Tariff Points</w:t>
      </w:r>
      <w:r w:rsidRPr="00851A19">
        <w:rPr>
          <w:rFonts w:ascii="Arial" w:hAnsi="Arial" w:cs="Arial"/>
          <w:bCs/>
        </w:rPr>
        <w:t xml:space="preserve"> and </w:t>
      </w:r>
      <w:r w:rsidRPr="00851A19">
        <w:rPr>
          <w:rFonts w:ascii="Arial" w:hAnsi="Arial" w:cs="Arial"/>
          <w:bCs/>
          <w:lang w:val="en-US"/>
        </w:rPr>
        <w:t xml:space="preserve">GCSE Grade </w:t>
      </w:r>
      <w:r w:rsidRPr="00851A19">
        <w:rPr>
          <w:rFonts w:ascii="Arial" w:hAnsi="Arial" w:cs="Arial"/>
          <w:bCs/>
          <w:lang w:val="en-US"/>
        </w:rPr>
        <w:t>4</w:t>
      </w:r>
      <w:r w:rsidRPr="00851A19">
        <w:rPr>
          <w:rFonts w:ascii="Arial" w:hAnsi="Arial" w:cs="Arial"/>
          <w:bCs/>
          <w:lang w:val="en-US"/>
        </w:rPr>
        <w:t xml:space="preserve"> </w:t>
      </w:r>
      <w:proofErr w:type="spellStart"/>
      <w:r w:rsidRPr="00851A19">
        <w:rPr>
          <w:rFonts w:ascii="Arial" w:hAnsi="Arial" w:cs="Arial"/>
          <w:bCs/>
          <w:lang w:val="en-US"/>
        </w:rPr>
        <w:t>Maths</w:t>
      </w:r>
      <w:proofErr w:type="spellEnd"/>
      <w:r w:rsidRPr="00851A19">
        <w:rPr>
          <w:rFonts w:ascii="Arial" w:hAnsi="Arial" w:cs="Arial"/>
          <w:bCs/>
          <w:lang w:val="en-US"/>
        </w:rPr>
        <w:t xml:space="preserve"> and English language, </w:t>
      </w:r>
      <w:r w:rsidRPr="00851A19">
        <w:rPr>
          <w:rFonts w:ascii="Arial" w:hAnsi="Arial" w:cs="Arial"/>
          <w:bCs/>
        </w:rPr>
        <w:t>personal statement with relevance to social work, Disclosure of criminal background</w:t>
      </w:r>
    </w:p>
    <w:p w14:paraId="20B934F0" w14:textId="0785E312" w:rsidR="00851A19" w:rsidRPr="00851A19" w:rsidRDefault="00851A19" w:rsidP="00851A19">
      <w:pPr>
        <w:rPr>
          <w:rFonts w:ascii="Arial" w:hAnsi="Arial" w:cs="Arial"/>
          <w:bCs/>
        </w:rPr>
      </w:pPr>
      <w:r w:rsidRPr="00851A19">
        <w:rPr>
          <w:rFonts w:ascii="Arial" w:hAnsi="Arial" w:cs="Arial"/>
          <w:bCs/>
        </w:rPr>
        <w:t xml:space="preserve">Selection: Interview in partnership and with HUB group members, </w:t>
      </w:r>
      <w:proofErr w:type="gramStart"/>
      <w:r w:rsidRPr="00851A19">
        <w:rPr>
          <w:rFonts w:ascii="Arial" w:hAnsi="Arial" w:cs="Arial"/>
          <w:bCs/>
        </w:rPr>
        <w:t>Written</w:t>
      </w:r>
      <w:proofErr w:type="gramEnd"/>
      <w:r w:rsidRPr="00851A19">
        <w:rPr>
          <w:rFonts w:ascii="Arial" w:hAnsi="Arial" w:cs="Arial"/>
          <w:bCs/>
        </w:rPr>
        <w:t xml:space="preserve"> test, Group activity. Offers made subject to DBS and OCC Health</w:t>
      </w:r>
    </w:p>
    <w:p w14:paraId="3664D5BF" w14:textId="5568E0AB" w:rsidR="00851A19" w:rsidRPr="00851A19" w:rsidRDefault="00851A19" w:rsidP="00851A19">
      <w:pPr>
        <w:rPr>
          <w:rFonts w:ascii="Arial" w:hAnsi="Arial" w:cs="Arial"/>
          <w:bCs/>
        </w:rPr>
      </w:pPr>
    </w:p>
    <w:p w14:paraId="7C3093D4" w14:textId="77777777" w:rsidR="00851A19" w:rsidRPr="00851A19" w:rsidRDefault="00851A19" w:rsidP="00851A19">
      <w:pPr>
        <w:rPr>
          <w:rFonts w:ascii="Arial" w:hAnsi="Arial" w:cs="Arial"/>
          <w:bCs/>
        </w:rPr>
      </w:pPr>
    </w:p>
    <w:p w14:paraId="6EA43881" w14:textId="7732C7E2" w:rsidR="00851A19" w:rsidRDefault="00851A19" w:rsidP="00851A19">
      <w:pPr>
        <w:rPr>
          <w:rFonts w:ascii="Arial" w:hAnsi="Arial" w:cs="Arial"/>
          <w:b/>
          <w:bCs/>
        </w:rPr>
      </w:pPr>
      <w:r w:rsidRPr="00851A19">
        <w:rPr>
          <w:rFonts w:ascii="Arial" w:hAnsi="Arial" w:cs="Arial"/>
          <w:b/>
          <w:bCs/>
        </w:rPr>
        <w:t>Year 1</w:t>
      </w:r>
      <w:r w:rsidRPr="00851A19">
        <w:rPr>
          <w:rFonts w:ascii="Arial" w:hAnsi="Arial" w:cs="Arial"/>
          <w:b/>
          <w:bCs/>
        </w:rPr>
        <w:t xml:space="preserve"> Readiness to Practice </w:t>
      </w:r>
    </w:p>
    <w:p w14:paraId="722B1359" w14:textId="77777777" w:rsidR="00181009" w:rsidRPr="00851A19" w:rsidRDefault="00181009" w:rsidP="00851A19">
      <w:pPr>
        <w:rPr>
          <w:rFonts w:ascii="Arial" w:hAnsi="Arial" w:cs="Arial"/>
          <w:b/>
          <w:bCs/>
        </w:rPr>
      </w:pPr>
    </w:p>
    <w:p w14:paraId="2D189CE2" w14:textId="1D484467" w:rsidR="00851A19" w:rsidRPr="00851A19" w:rsidRDefault="00851A19" w:rsidP="00851A19">
      <w:pPr>
        <w:rPr>
          <w:rFonts w:ascii="Arial" w:hAnsi="Arial" w:cs="Arial"/>
          <w:color w:val="5B9BD5" w:themeColor="accent1"/>
        </w:rPr>
      </w:pPr>
      <w:r w:rsidRPr="00851A19">
        <w:rPr>
          <w:rFonts w:ascii="Arial" w:hAnsi="Arial" w:cs="Arial"/>
          <w:color w:val="5B9BD5" w:themeColor="accent1"/>
        </w:rPr>
        <w:t>PCF: By the point of assessment of readiness for direct practice (prior to first placement), students should demonstrate basic communication skills, ability to engage with users, capacity to work as a member of an organisation, willingness to learn from feedback and supervision, and demonstrate basic SW values, knowledge and skills in order to be able to make effective use of first practice placement</w:t>
      </w:r>
      <w:r w:rsidRPr="00851A19">
        <w:rPr>
          <w:rFonts w:ascii="Arial" w:hAnsi="Arial" w:cs="Arial"/>
          <w:color w:val="5B9BD5" w:themeColor="accent1"/>
        </w:rPr>
        <w:t>.</w:t>
      </w:r>
    </w:p>
    <w:p w14:paraId="7874D64B" w14:textId="77777777" w:rsidR="00851A19" w:rsidRPr="00851A19" w:rsidRDefault="00851A19" w:rsidP="00851A19">
      <w:pPr>
        <w:rPr>
          <w:rFonts w:ascii="Arial" w:hAnsi="Arial" w:cs="Arial"/>
          <w:b/>
          <w:bCs/>
        </w:rPr>
      </w:pPr>
    </w:p>
    <w:p w14:paraId="244752DC" w14:textId="77777777" w:rsidR="00851A19" w:rsidRPr="00851A19" w:rsidRDefault="00851A19" w:rsidP="00851A19">
      <w:pPr>
        <w:rPr>
          <w:rFonts w:ascii="Arial" w:hAnsi="Arial" w:cs="Arial"/>
          <w:bCs/>
        </w:rPr>
      </w:pPr>
      <w:r w:rsidRPr="00851A19">
        <w:rPr>
          <w:rFonts w:ascii="Arial" w:hAnsi="Arial" w:cs="Arial"/>
          <w:bCs/>
        </w:rPr>
        <w:t>DBS processing of any convictions in partnership and OCC Health (Wellbeing &amp; Disability Service if needed)</w:t>
      </w:r>
    </w:p>
    <w:p w14:paraId="5F4283B5" w14:textId="77777777" w:rsidR="00851A19" w:rsidRPr="00851A19" w:rsidRDefault="00851A19" w:rsidP="00851A19">
      <w:pPr>
        <w:rPr>
          <w:rFonts w:ascii="Arial" w:hAnsi="Arial" w:cs="Arial"/>
          <w:bCs/>
        </w:rPr>
      </w:pPr>
      <w:r w:rsidRPr="00851A19">
        <w:rPr>
          <w:rFonts w:ascii="Arial" w:hAnsi="Arial" w:cs="Arial"/>
          <w:bCs/>
        </w:rPr>
        <w:t>Student information on any personal involvement in social services – used to discuss placements</w:t>
      </w:r>
    </w:p>
    <w:p w14:paraId="15C3A307" w14:textId="07E008B4" w:rsidR="00851A19" w:rsidRPr="00851A19" w:rsidRDefault="00851A19" w:rsidP="00851A19">
      <w:pPr>
        <w:rPr>
          <w:rFonts w:ascii="Arial" w:hAnsi="Arial" w:cs="Arial"/>
          <w:bCs/>
        </w:rPr>
      </w:pPr>
      <w:r w:rsidRPr="00D410B7">
        <w:rPr>
          <w:rFonts w:ascii="Arial" w:hAnsi="Arial" w:cs="Arial"/>
          <w:bCs/>
          <w:u w:val="single"/>
        </w:rPr>
        <w:t>Induction</w:t>
      </w:r>
      <w:r w:rsidRPr="00D410B7">
        <w:rPr>
          <w:rFonts w:ascii="Arial" w:hAnsi="Arial" w:cs="Arial"/>
          <w:bCs/>
        </w:rPr>
        <w:t xml:space="preserve">: </w:t>
      </w:r>
      <w:r w:rsidRPr="00851A19">
        <w:rPr>
          <w:rFonts w:ascii="Arial" w:hAnsi="Arial" w:cs="Arial"/>
          <w:bCs/>
        </w:rPr>
        <w:t>tutor group learning agreement, support and learning services, social workers &amp; HUB group, staff team</w:t>
      </w:r>
      <w:r w:rsidRPr="00851A19">
        <w:rPr>
          <w:rFonts w:ascii="Arial" w:hAnsi="Arial" w:cs="Arial"/>
          <w:bCs/>
        </w:rPr>
        <w:t>.</w:t>
      </w:r>
    </w:p>
    <w:p w14:paraId="38BA9431" w14:textId="77777777" w:rsidR="00851A19" w:rsidRPr="00851A19" w:rsidRDefault="00851A19" w:rsidP="00851A19">
      <w:pPr>
        <w:rPr>
          <w:rFonts w:ascii="Arial" w:hAnsi="Arial" w:cs="Arial"/>
          <w:bCs/>
        </w:rPr>
      </w:pPr>
    </w:p>
    <w:p w14:paraId="0D520914" w14:textId="77777777" w:rsidR="00851A19" w:rsidRPr="00181009" w:rsidRDefault="00851A19" w:rsidP="00851A19">
      <w:pPr>
        <w:rPr>
          <w:rFonts w:ascii="Arial" w:hAnsi="Arial" w:cs="Arial"/>
          <w:color w:val="70AD47" w:themeColor="accent6"/>
        </w:rPr>
      </w:pPr>
      <w:r w:rsidRPr="00181009">
        <w:rPr>
          <w:rFonts w:ascii="Arial" w:hAnsi="Arial" w:cs="Arial"/>
          <w:bCs/>
          <w:color w:val="70AD47" w:themeColor="accent6"/>
          <w:u w:val="single"/>
        </w:rPr>
        <w:t>Modules</w:t>
      </w:r>
      <w:r w:rsidRPr="00181009">
        <w:rPr>
          <w:rFonts w:ascii="Arial" w:hAnsi="Arial" w:cs="Arial"/>
          <w:color w:val="70AD47" w:themeColor="accent6"/>
        </w:rPr>
        <w:t>: Skills for Relationship Based Practice; Law and social policy for social work; Perspectives on the life course; Developing Professional Social Work Practice</w:t>
      </w:r>
    </w:p>
    <w:p w14:paraId="1F330D53" w14:textId="68D3FB7B" w:rsidR="00851A19" w:rsidRPr="00181009" w:rsidRDefault="00851A19" w:rsidP="00851A19">
      <w:pPr>
        <w:rPr>
          <w:rFonts w:ascii="Arial" w:hAnsi="Arial" w:cs="Arial"/>
          <w:color w:val="70AD47" w:themeColor="accent6"/>
        </w:rPr>
      </w:pPr>
      <w:r w:rsidRPr="00181009">
        <w:rPr>
          <w:rFonts w:ascii="Arial" w:hAnsi="Arial" w:cs="Arial"/>
          <w:color w:val="70AD47" w:themeColor="accent6"/>
        </w:rPr>
        <w:t>These modules cover theory with a strong emphasis on developing skills including opportunity to shadow social work practice on 4 days. Embedded learning support. Students complete learning objectives for first placement.</w:t>
      </w:r>
    </w:p>
    <w:p w14:paraId="27639C2A" w14:textId="77777777" w:rsidR="00851A19" w:rsidRPr="00851A19" w:rsidRDefault="00851A19" w:rsidP="00851A19">
      <w:pPr>
        <w:rPr>
          <w:rFonts w:ascii="Arial" w:hAnsi="Arial" w:cs="Arial"/>
          <w:bCs/>
          <w:color w:val="5B9BD5" w:themeColor="accent1"/>
        </w:rPr>
      </w:pPr>
    </w:p>
    <w:p w14:paraId="0492E074" w14:textId="5738B729" w:rsidR="00851A19" w:rsidRPr="00181009" w:rsidRDefault="00851A19" w:rsidP="00851A19">
      <w:pPr>
        <w:rPr>
          <w:rFonts w:ascii="Arial" w:hAnsi="Arial" w:cs="Arial"/>
          <w:color w:val="FF0000"/>
        </w:rPr>
      </w:pPr>
      <w:r w:rsidRPr="00181009">
        <w:rPr>
          <w:rFonts w:ascii="Arial" w:hAnsi="Arial" w:cs="Arial"/>
          <w:color w:val="FF0000"/>
        </w:rPr>
        <w:t>Students must pass all level 1 modules to meet the PCF Readiness to Undertake Practice Learning</w:t>
      </w:r>
    </w:p>
    <w:p w14:paraId="11B97791" w14:textId="77777777" w:rsidR="00851A19" w:rsidRPr="00181009" w:rsidRDefault="00851A19" w:rsidP="00851A19">
      <w:pPr>
        <w:rPr>
          <w:rFonts w:ascii="Arial" w:hAnsi="Arial" w:cs="Arial"/>
          <w:color w:val="FF0000"/>
        </w:rPr>
      </w:pPr>
      <w:r w:rsidRPr="00181009">
        <w:rPr>
          <w:rFonts w:ascii="Arial" w:hAnsi="Arial" w:cs="Arial"/>
          <w:color w:val="FF0000"/>
        </w:rPr>
        <w:t>Transition week to prepare for year 2</w:t>
      </w:r>
    </w:p>
    <w:p w14:paraId="132CBCB6" w14:textId="77777777" w:rsidR="00851A19" w:rsidRPr="00181009" w:rsidRDefault="00851A19" w:rsidP="00851A19">
      <w:pPr>
        <w:rPr>
          <w:rFonts w:ascii="Arial" w:hAnsi="Arial" w:cs="Arial"/>
          <w:color w:val="FF0000"/>
        </w:rPr>
      </w:pPr>
    </w:p>
    <w:p w14:paraId="453401B8" w14:textId="77777777" w:rsidR="00181009" w:rsidRDefault="00851A19" w:rsidP="00851A19">
      <w:pPr>
        <w:pStyle w:val="NormalWeb"/>
        <w:rPr>
          <w:rFonts w:ascii="Arial" w:hAnsi="Arial" w:cs="Arial"/>
          <w:shd w:val="clear" w:color="auto" w:fill="FFFFFF"/>
        </w:rPr>
      </w:pPr>
      <w:r w:rsidRPr="00851A19">
        <w:rPr>
          <w:rFonts w:ascii="Arial" w:hAnsi="Arial" w:cs="Arial"/>
          <w:b/>
          <w:bCs/>
        </w:rPr>
        <w:t>Year 2</w:t>
      </w:r>
      <w:r w:rsidRPr="00851A19">
        <w:rPr>
          <w:rFonts w:ascii="Arial" w:hAnsi="Arial" w:cs="Arial"/>
          <w:b/>
          <w:bCs/>
          <w:shd w:val="clear" w:color="auto" w:fill="FFFFFF"/>
        </w:rPr>
        <w:t xml:space="preserve"> </w:t>
      </w:r>
      <w:r w:rsidR="00D410B7">
        <w:rPr>
          <w:rFonts w:ascii="Arial" w:hAnsi="Arial" w:cs="Arial"/>
          <w:b/>
          <w:bCs/>
          <w:shd w:val="clear" w:color="auto" w:fill="FFFFFF"/>
        </w:rPr>
        <w:t xml:space="preserve">PCF </w:t>
      </w:r>
      <w:r w:rsidRPr="00851A19">
        <w:rPr>
          <w:rFonts w:ascii="Arial" w:hAnsi="Arial" w:cs="Arial"/>
          <w:b/>
          <w:bCs/>
          <w:shd w:val="clear" w:color="auto" w:fill="FFFFFF"/>
        </w:rPr>
        <w:t xml:space="preserve">End of first </w:t>
      </w:r>
      <w:r w:rsidRPr="00851A19">
        <w:rPr>
          <w:rFonts w:ascii="Arial" w:hAnsi="Arial" w:cs="Arial"/>
          <w:b/>
          <w:bCs/>
          <w:shd w:val="clear" w:color="auto" w:fill="FFFFFF"/>
        </w:rPr>
        <w:t>placement:</w:t>
      </w:r>
      <w:r w:rsidRPr="00851A19">
        <w:rPr>
          <w:rFonts w:ascii="Arial" w:hAnsi="Arial" w:cs="Arial"/>
          <w:shd w:val="clear" w:color="auto" w:fill="FFFFFF"/>
        </w:rPr>
        <w:t xml:space="preserve"> </w:t>
      </w:r>
    </w:p>
    <w:p w14:paraId="4AE79D70" w14:textId="519466AE" w:rsidR="00851A19" w:rsidRPr="00851A19" w:rsidRDefault="00851A19" w:rsidP="00851A19">
      <w:pPr>
        <w:pStyle w:val="NormalWeb"/>
        <w:rPr>
          <w:rFonts w:ascii="Arial" w:hAnsi="Arial" w:cs="Arial"/>
          <w:color w:val="2E74B5" w:themeColor="accent1" w:themeShade="BF"/>
        </w:rPr>
      </w:pPr>
      <w:r w:rsidRPr="00851A19">
        <w:rPr>
          <w:rFonts w:ascii="Arial" w:hAnsi="Arial" w:cs="Arial"/>
          <w:color w:val="2E74B5" w:themeColor="accent1" w:themeShade="BF"/>
          <w:shd w:val="clear" w:color="auto" w:fill="FFFFFF"/>
        </w:rPr>
        <w:t xml:space="preserve">By the end of the first placement students should demonstrate effective use of knowledge and skills and commitment to core values in social work in a given setting, predominantly dealing with situations of lower complexity, with supervision and support. They will have started to demonstrate capacity to work with situations of </w:t>
      </w:r>
      <w:r w:rsidRPr="00851A19">
        <w:rPr>
          <w:rFonts w:ascii="Arial" w:hAnsi="Arial" w:cs="Arial"/>
          <w:color w:val="2E74B5" w:themeColor="accent1" w:themeShade="BF"/>
          <w:shd w:val="clear" w:color="auto" w:fill="FFFFFF"/>
        </w:rPr>
        <w:lastRenderedPageBreak/>
        <w:t xml:space="preserve">greater complexity and where solutions and outcomes are uncertain or less clear - cut. They will have started to use specific social work models, skills and interventions and to have evaluated their impact. </w:t>
      </w:r>
    </w:p>
    <w:p w14:paraId="41AA1CF5" w14:textId="6352383F" w:rsidR="00851A19" w:rsidRPr="00D410B7" w:rsidRDefault="00851A19" w:rsidP="00851A19">
      <w:pPr>
        <w:rPr>
          <w:rFonts w:ascii="Arial" w:hAnsi="Arial" w:cs="Arial"/>
          <w:b/>
          <w:bCs/>
        </w:rPr>
      </w:pPr>
      <w:r w:rsidRPr="00D410B7">
        <w:rPr>
          <w:rFonts w:ascii="Arial" w:hAnsi="Arial" w:cs="Arial"/>
          <w:bCs/>
          <w:u w:val="single"/>
        </w:rPr>
        <w:t>Induction</w:t>
      </w:r>
      <w:r w:rsidRPr="00D410B7">
        <w:rPr>
          <w:rFonts w:ascii="Arial" w:hAnsi="Arial" w:cs="Arial"/>
          <w:bCs/>
        </w:rPr>
        <w:t>: modules and placement, faculty services, level 2 study skills</w:t>
      </w:r>
    </w:p>
    <w:p w14:paraId="3625C649" w14:textId="77777777" w:rsidR="00851A19" w:rsidRPr="00181009" w:rsidRDefault="00851A19" w:rsidP="00851A19">
      <w:pPr>
        <w:rPr>
          <w:rFonts w:ascii="Arial" w:hAnsi="Arial" w:cs="Arial"/>
          <w:color w:val="70AD47" w:themeColor="accent6"/>
        </w:rPr>
      </w:pPr>
      <w:r w:rsidRPr="00181009">
        <w:rPr>
          <w:rFonts w:ascii="Arial" w:hAnsi="Arial" w:cs="Arial"/>
          <w:color w:val="70AD47" w:themeColor="accent6"/>
          <w:u w:val="single"/>
        </w:rPr>
        <w:t>Modules</w:t>
      </w:r>
      <w:r w:rsidRPr="00181009">
        <w:rPr>
          <w:rFonts w:ascii="Arial" w:hAnsi="Arial" w:cs="Arial"/>
          <w:color w:val="70AD47" w:themeColor="accent6"/>
        </w:rPr>
        <w:t>: Empowerment, Engagement and Intervention, Service Improvement, Reflective Social Work Practice, Knowledge and Law for Social Work, Theory and Research for Social Work</w:t>
      </w:r>
    </w:p>
    <w:p w14:paraId="6234ABD8" w14:textId="77777777" w:rsidR="00851A19" w:rsidRPr="00181009" w:rsidRDefault="00851A19" w:rsidP="00851A19">
      <w:pPr>
        <w:rPr>
          <w:rFonts w:ascii="Arial" w:hAnsi="Arial" w:cs="Arial"/>
          <w:color w:val="70AD47" w:themeColor="accent6"/>
        </w:rPr>
      </w:pPr>
      <w:r w:rsidRPr="00181009">
        <w:rPr>
          <w:rFonts w:ascii="Arial" w:hAnsi="Arial" w:cs="Arial"/>
          <w:color w:val="70AD47" w:themeColor="accent6"/>
        </w:rPr>
        <w:t xml:space="preserve">These modules build on knowledge, </w:t>
      </w:r>
      <w:proofErr w:type="spellStart"/>
      <w:r w:rsidRPr="00181009">
        <w:rPr>
          <w:rFonts w:ascii="Arial" w:hAnsi="Arial" w:cs="Arial"/>
          <w:color w:val="70AD47" w:themeColor="accent6"/>
        </w:rPr>
        <w:t>interprofessional</w:t>
      </w:r>
      <w:proofErr w:type="spellEnd"/>
      <w:r w:rsidRPr="00181009">
        <w:rPr>
          <w:rFonts w:ascii="Arial" w:hAnsi="Arial" w:cs="Arial"/>
          <w:color w:val="70AD47" w:themeColor="accent6"/>
        </w:rPr>
        <w:t xml:space="preserve"> and anti-oppressive practice, methods and include 70 days of assessed practice.  </w:t>
      </w:r>
    </w:p>
    <w:p w14:paraId="19B168B2" w14:textId="6F38CFEC" w:rsidR="00851A19" w:rsidRPr="00181009" w:rsidRDefault="00851A19" w:rsidP="00851A19">
      <w:pPr>
        <w:rPr>
          <w:rFonts w:ascii="Arial" w:hAnsi="Arial" w:cs="Arial"/>
          <w:color w:val="FF0000"/>
        </w:rPr>
      </w:pPr>
      <w:r w:rsidRPr="00181009">
        <w:rPr>
          <w:rFonts w:ascii="Arial" w:hAnsi="Arial" w:cs="Arial"/>
          <w:color w:val="FF0000"/>
        </w:rPr>
        <w:t xml:space="preserve">Students must pass Reflective Social Work </w:t>
      </w:r>
      <w:r w:rsidR="00181009" w:rsidRPr="00181009">
        <w:rPr>
          <w:rFonts w:ascii="Arial" w:hAnsi="Arial" w:cs="Arial"/>
          <w:color w:val="FF0000"/>
        </w:rPr>
        <w:t xml:space="preserve">Practice </w:t>
      </w:r>
      <w:r w:rsidRPr="00181009">
        <w:rPr>
          <w:rFonts w:ascii="Arial" w:hAnsi="Arial" w:cs="Arial"/>
          <w:color w:val="FF0000"/>
        </w:rPr>
        <w:t>and Knowledge and Law to meet PCF</w:t>
      </w:r>
      <w:r w:rsidR="00181009" w:rsidRPr="00181009">
        <w:rPr>
          <w:rFonts w:ascii="Arial" w:hAnsi="Arial" w:cs="Arial"/>
          <w:color w:val="FF0000"/>
        </w:rPr>
        <w:t>s</w:t>
      </w:r>
      <w:r w:rsidRPr="00181009">
        <w:rPr>
          <w:rFonts w:ascii="Arial" w:hAnsi="Arial" w:cs="Arial"/>
          <w:color w:val="FF0000"/>
        </w:rPr>
        <w:t xml:space="preserve"> </w:t>
      </w:r>
      <w:r w:rsidR="00D410B7" w:rsidRPr="00181009">
        <w:rPr>
          <w:rFonts w:ascii="Arial" w:hAnsi="Arial" w:cs="Arial"/>
          <w:color w:val="FF0000"/>
        </w:rPr>
        <w:t>a</w:t>
      </w:r>
      <w:r w:rsidRPr="00181009">
        <w:rPr>
          <w:rFonts w:ascii="Arial" w:hAnsi="Arial" w:cs="Arial"/>
          <w:color w:val="FF0000"/>
        </w:rPr>
        <w:t>t the End of the First Placement level of capability before enrolment on final placement</w:t>
      </w:r>
    </w:p>
    <w:p w14:paraId="460A255E" w14:textId="77777777" w:rsidR="00851A19" w:rsidRPr="00181009" w:rsidRDefault="00851A19" w:rsidP="00851A19">
      <w:pPr>
        <w:rPr>
          <w:rFonts w:ascii="Arial" w:hAnsi="Arial" w:cs="Arial"/>
          <w:color w:val="FF0000"/>
        </w:rPr>
      </w:pPr>
      <w:r w:rsidRPr="00181009">
        <w:rPr>
          <w:rFonts w:ascii="Arial" w:hAnsi="Arial" w:cs="Arial"/>
          <w:color w:val="FF0000"/>
        </w:rPr>
        <w:t xml:space="preserve">Transition week to prepare for Year 3 </w:t>
      </w:r>
    </w:p>
    <w:p w14:paraId="5E5FFB8E" w14:textId="6E7EE8B5" w:rsidR="00D410B7" w:rsidRPr="00181009" w:rsidRDefault="00851A19" w:rsidP="00D410B7">
      <w:pPr>
        <w:pStyle w:val="NormalWeb"/>
        <w:rPr>
          <w:rFonts w:ascii="Arial" w:hAnsi="Arial" w:cs="Arial"/>
          <w:b/>
        </w:rPr>
      </w:pPr>
      <w:r w:rsidRPr="00181009">
        <w:rPr>
          <w:rFonts w:ascii="Arial" w:hAnsi="Arial" w:cs="Arial"/>
          <w:b/>
        </w:rPr>
        <w:t xml:space="preserve">Year 3 </w:t>
      </w:r>
      <w:r w:rsidR="00D410B7" w:rsidRPr="00181009">
        <w:rPr>
          <w:rFonts w:ascii="Arial" w:hAnsi="Arial" w:cs="Arial"/>
          <w:b/>
        </w:rPr>
        <w:t xml:space="preserve">PCF End of </w:t>
      </w:r>
      <w:r w:rsidR="00181009">
        <w:rPr>
          <w:rFonts w:ascii="Arial" w:hAnsi="Arial" w:cs="Arial"/>
          <w:b/>
        </w:rPr>
        <w:t xml:space="preserve">last placement completion of qualifying course </w:t>
      </w:r>
      <w:r w:rsidR="00D410B7" w:rsidRPr="00181009">
        <w:rPr>
          <w:rFonts w:ascii="Arial" w:hAnsi="Arial" w:cs="Arial"/>
          <w:b/>
        </w:rPr>
        <w:t xml:space="preserve"> </w:t>
      </w:r>
    </w:p>
    <w:p w14:paraId="6E31EB75" w14:textId="687FACA1" w:rsidR="00D410B7" w:rsidRPr="00D410B7" w:rsidRDefault="00D410B7" w:rsidP="00D410B7">
      <w:pPr>
        <w:pStyle w:val="NormalWeb"/>
        <w:rPr>
          <w:rFonts w:ascii="Arial" w:hAnsi="Arial" w:cs="Arial"/>
          <w:color w:val="2E74B5" w:themeColor="accent1" w:themeShade="BF"/>
        </w:rPr>
      </w:pPr>
      <w:r w:rsidRPr="00D410B7">
        <w:rPr>
          <w:rFonts w:ascii="Arial" w:hAnsi="Arial" w:cs="Arial"/>
          <w:color w:val="2E74B5" w:themeColor="accent1" w:themeShade="BF"/>
          <w:shd w:val="clear" w:color="auto" w:fill="FFFFFF"/>
        </w:rPr>
        <w:t>By the end of qualifying programmes newly qualified social workers will have demonstrated capabilities in applying social work approaches with a range of service user groups, the ability to undertake a range of tasks and social work interventions at a foundation level and evidenced the capacity to work effectively with more complex situations. They may have deepened specific skills in one or more social work field</w:t>
      </w:r>
      <w:r w:rsidR="00181009">
        <w:rPr>
          <w:rFonts w:ascii="Arial" w:hAnsi="Arial" w:cs="Arial"/>
          <w:color w:val="2E74B5" w:themeColor="accent1" w:themeShade="BF"/>
          <w:shd w:val="clear" w:color="auto" w:fill="FFFFFF"/>
        </w:rPr>
        <w:t>s</w:t>
      </w:r>
      <w:r w:rsidRPr="00D410B7">
        <w:rPr>
          <w:rFonts w:ascii="Arial" w:hAnsi="Arial" w:cs="Arial"/>
          <w:color w:val="2E74B5" w:themeColor="accent1" w:themeShade="BF"/>
          <w:shd w:val="clear" w:color="auto" w:fill="FFFFFF"/>
        </w:rPr>
        <w:t xml:space="preserve">. They should be able to work with appropriate autonomy, whilst recognising that final decisions will often rest with their supervisor or other senior authority. They will seek appropriate support, supervision and be ready to pursue continuing professional development. These capabilities will have been demonstrated through the last (or latter parts of their) placement together with the final assessment of other work in the qualifying programme </w:t>
      </w:r>
    </w:p>
    <w:p w14:paraId="66066F6F" w14:textId="77777777" w:rsidR="00851A19" w:rsidRPr="00181009" w:rsidRDefault="00851A19" w:rsidP="00851A19">
      <w:pPr>
        <w:rPr>
          <w:rFonts w:ascii="Arial" w:hAnsi="Arial" w:cs="Arial"/>
        </w:rPr>
      </w:pPr>
      <w:r w:rsidRPr="00181009">
        <w:rPr>
          <w:rFonts w:ascii="Arial" w:hAnsi="Arial" w:cs="Arial"/>
          <w:u w:val="single"/>
        </w:rPr>
        <w:t>Induction:</w:t>
      </w:r>
      <w:r w:rsidRPr="00181009">
        <w:rPr>
          <w:rFonts w:ascii="Arial" w:hAnsi="Arial" w:cs="Arial"/>
        </w:rPr>
        <w:t xml:space="preserve"> to level 3 modules and study skills</w:t>
      </w:r>
    </w:p>
    <w:p w14:paraId="1FEDE2F2" w14:textId="56C67146" w:rsidR="00851A19" w:rsidRPr="00181009" w:rsidRDefault="00851A19" w:rsidP="00851A19">
      <w:pPr>
        <w:rPr>
          <w:rFonts w:ascii="Arial" w:hAnsi="Arial" w:cs="Arial"/>
          <w:color w:val="70AD47" w:themeColor="accent6"/>
        </w:rPr>
      </w:pPr>
      <w:r w:rsidRPr="00181009">
        <w:rPr>
          <w:rFonts w:ascii="Arial" w:hAnsi="Arial" w:cs="Arial"/>
          <w:color w:val="70AD47" w:themeColor="accent6"/>
          <w:u w:val="single"/>
        </w:rPr>
        <w:t>M</w:t>
      </w:r>
      <w:r w:rsidRPr="00181009">
        <w:rPr>
          <w:rFonts w:ascii="Arial" w:hAnsi="Arial" w:cs="Arial"/>
          <w:bCs/>
          <w:color w:val="70AD47" w:themeColor="accent6"/>
          <w:u w:val="single"/>
        </w:rPr>
        <w:t>odules:</w:t>
      </w:r>
      <w:r w:rsidRPr="00181009">
        <w:rPr>
          <w:rFonts w:ascii="Arial" w:hAnsi="Arial" w:cs="Arial"/>
          <w:color w:val="70AD47" w:themeColor="accent6"/>
        </w:rPr>
        <w:t xml:space="preserve"> Protection and Risk, Critical Reflective Social Work Practice 1 and 2, Option</w:t>
      </w:r>
      <w:r w:rsidR="00181009" w:rsidRPr="00181009">
        <w:rPr>
          <w:rFonts w:ascii="Arial" w:hAnsi="Arial" w:cs="Arial"/>
          <w:color w:val="70AD47" w:themeColor="accent6"/>
        </w:rPr>
        <w:t>al Module</w:t>
      </w:r>
      <w:r w:rsidRPr="00181009">
        <w:rPr>
          <w:rFonts w:ascii="Arial" w:hAnsi="Arial" w:cs="Arial"/>
          <w:color w:val="70AD47" w:themeColor="accent6"/>
        </w:rPr>
        <w:t>s</w:t>
      </w:r>
      <w:r w:rsidR="00181009" w:rsidRPr="00181009">
        <w:rPr>
          <w:rFonts w:ascii="Arial" w:hAnsi="Arial" w:cs="Arial"/>
          <w:color w:val="70AD47" w:themeColor="accent6"/>
        </w:rPr>
        <w:t>-</w:t>
      </w:r>
      <w:r w:rsidRPr="00181009">
        <w:rPr>
          <w:rFonts w:ascii="Arial" w:hAnsi="Arial" w:cs="Arial"/>
          <w:color w:val="70AD47" w:themeColor="accent6"/>
        </w:rPr>
        <w:t xml:space="preserve"> Vulnerability and safeguarding adults and Social Work with children and families and Dissertation</w:t>
      </w:r>
    </w:p>
    <w:p w14:paraId="04282DCB" w14:textId="77777777" w:rsidR="00851A19" w:rsidRPr="00181009" w:rsidRDefault="00851A19" w:rsidP="00851A19">
      <w:pPr>
        <w:rPr>
          <w:rFonts w:ascii="Arial" w:hAnsi="Arial" w:cs="Arial"/>
          <w:color w:val="70AD47" w:themeColor="accent6"/>
        </w:rPr>
      </w:pPr>
      <w:r w:rsidRPr="00181009">
        <w:rPr>
          <w:rFonts w:ascii="Arial" w:hAnsi="Arial" w:cs="Arial"/>
          <w:color w:val="70AD47" w:themeColor="accent6"/>
        </w:rPr>
        <w:t>These modules include 100 days in placement with statutory social work tasks. More independent and individually supported learning.</w:t>
      </w:r>
    </w:p>
    <w:p w14:paraId="32A89630" w14:textId="77777777" w:rsidR="00851A19" w:rsidRPr="00181009" w:rsidRDefault="00851A19" w:rsidP="00851A19">
      <w:pPr>
        <w:rPr>
          <w:rFonts w:ascii="Arial" w:hAnsi="Arial" w:cs="Arial"/>
          <w:color w:val="70AD47" w:themeColor="accent6"/>
        </w:rPr>
      </w:pPr>
      <w:r w:rsidRPr="00181009">
        <w:rPr>
          <w:rFonts w:ascii="Arial" w:hAnsi="Arial" w:cs="Arial"/>
          <w:color w:val="70AD47" w:themeColor="accent6"/>
        </w:rPr>
        <w:t xml:space="preserve">Range of teaching methods; </w:t>
      </w:r>
      <w:proofErr w:type="spellStart"/>
      <w:r w:rsidRPr="00181009">
        <w:rPr>
          <w:rFonts w:ascii="Arial" w:hAnsi="Arial" w:cs="Arial"/>
          <w:color w:val="70AD47" w:themeColor="accent6"/>
        </w:rPr>
        <w:t>interprofessional</w:t>
      </w:r>
      <w:proofErr w:type="spellEnd"/>
      <w:r w:rsidRPr="00181009">
        <w:rPr>
          <w:rFonts w:ascii="Arial" w:hAnsi="Arial" w:cs="Arial"/>
          <w:color w:val="70AD47" w:themeColor="accent6"/>
        </w:rPr>
        <w:t xml:space="preserve">; experts from experience; practitioners, simulation, </w:t>
      </w:r>
    </w:p>
    <w:p w14:paraId="08968C21" w14:textId="77777777" w:rsidR="00851A19" w:rsidRPr="00181009" w:rsidRDefault="00851A19" w:rsidP="00851A19">
      <w:pPr>
        <w:rPr>
          <w:rFonts w:ascii="Arial" w:hAnsi="Arial" w:cs="Arial"/>
          <w:color w:val="70AD47" w:themeColor="accent6"/>
        </w:rPr>
      </w:pPr>
      <w:r w:rsidRPr="00181009">
        <w:rPr>
          <w:rFonts w:ascii="Arial" w:hAnsi="Arial" w:cs="Arial"/>
          <w:color w:val="70AD47" w:themeColor="accent6"/>
        </w:rPr>
        <w:t>Range of assessments; written, verbal, direct observation of practice</w:t>
      </w:r>
    </w:p>
    <w:p w14:paraId="128A758E" w14:textId="76CF84D2" w:rsidR="00851A19" w:rsidRPr="00181009" w:rsidRDefault="00851A19" w:rsidP="00851A19">
      <w:pPr>
        <w:rPr>
          <w:rFonts w:ascii="Arial" w:hAnsi="Arial" w:cs="Arial"/>
          <w:color w:val="70AD47" w:themeColor="accent6"/>
        </w:rPr>
      </w:pPr>
      <w:r w:rsidRPr="00181009">
        <w:rPr>
          <w:rFonts w:ascii="Arial" w:hAnsi="Arial" w:cs="Arial"/>
          <w:color w:val="70AD47" w:themeColor="accent6"/>
        </w:rPr>
        <w:t>Range of academic and professional support; tutor and practice tutors, practice educators,</w:t>
      </w:r>
      <w:r w:rsidR="00181009">
        <w:rPr>
          <w:rFonts w:ascii="Arial" w:hAnsi="Arial" w:cs="Arial"/>
          <w:color w:val="70AD47" w:themeColor="accent6"/>
        </w:rPr>
        <w:t xml:space="preserve"> </w:t>
      </w:r>
      <w:r w:rsidRPr="00181009">
        <w:rPr>
          <w:rFonts w:ascii="Arial" w:hAnsi="Arial" w:cs="Arial"/>
          <w:color w:val="70AD47" w:themeColor="accent6"/>
        </w:rPr>
        <w:t>supervisor, external examiner</w:t>
      </w:r>
    </w:p>
    <w:p w14:paraId="64CC7877" w14:textId="77777777" w:rsidR="00851A19" w:rsidRPr="00181009" w:rsidRDefault="00851A19" w:rsidP="00851A19">
      <w:pPr>
        <w:rPr>
          <w:rFonts w:ascii="Arial" w:hAnsi="Arial" w:cs="Arial"/>
          <w:color w:val="70AD47" w:themeColor="accent6"/>
        </w:rPr>
      </w:pPr>
      <w:r w:rsidRPr="00181009">
        <w:rPr>
          <w:rFonts w:ascii="Arial" w:hAnsi="Arial" w:cs="Arial"/>
          <w:color w:val="70AD47" w:themeColor="accent6"/>
        </w:rPr>
        <w:t>Placement office for allocation and quality assurance</w:t>
      </w:r>
    </w:p>
    <w:p w14:paraId="24B5EAB0" w14:textId="15B25E12" w:rsidR="00851A19" w:rsidRPr="00181009" w:rsidRDefault="00851A19" w:rsidP="00851A19">
      <w:pPr>
        <w:rPr>
          <w:rFonts w:ascii="Arial" w:hAnsi="Arial" w:cs="Arial"/>
          <w:color w:val="70AD47" w:themeColor="accent6"/>
        </w:rPr>
      </w:pPr>
      <w:r w:rsidRPr="00181009">
        <w:rPr>
          <w:rFonts w:ascii="Arial" w:hAnsi="Arial" w:cs="Arial"/>
          <w:color w:val="70AD47" w:themeColor="accent6"/>
        </w:rPr>
        <w:t>UWE policies; Professional Suitability; Whistle Blowing; Equality of Opportunity and more</w:t>
      </w:r>
    </w:p>
    <w:p w14:paraId="71F91E2D" w14:textId="1583EF7C" w:rsidR="00851A19" w:rsidRDefault="00851A19" w:rsidP="00851A19">
      <w:pPr>
        <w:rPr>
          <w:rFonts w:ascii="Arial" w:hAnsi="Arial" w:cs="Arial"/>
          <w:color w:val="70AD47" w:themeColor="accent6"/>
        </w:rPr>
      </w:pPr>
      <w:r w:rsidRPr="00181009">
        <w:rPr>
          <w:rFonts w:ascii="Arial" w:hAnsi="Arial" w:cs="Arial"/>
          <w:color w:val="70AD47" w:themeColor="accent6"/>
        </w:rPr>
        <w:t>360 QA of journey - preparation, practice development, assessment with progression and non-progression.</w:t>
      </w:r>
    </w:p>
    <w:p w14:paraId="3B4286CB" w14:textId="77777777" w:rsidR="00181009" w:rsidRPr="00181009" w:rsidRDefault="00181009" w:rsidP="00181009">
      <w:pPr>
        <w:rPr>
          <w:rFonts w:ascii="Arial" w:hAnsi="Arial" w:cs="Arial"/>
          <w:color w:val="FF0000"/>
        </w:rPr>
      </w:pPr>
      <w:r w:rsidRPr="00181009">
        <w:rPr>
          <w:rFonts w:ascii="Arial" w:hAnsi="Arial" w:cs="Arial"/>
          <w:color w:val="FF0000"/>
        </w:rPr>
        <w:t>Students must pass all modules to qualify</w:t>
      </w:r>
    </w:p>
    <w:p w14:paraId="0239FFBB" w14:textId="5A46AF0F" w:rsidR="00181009" w:rsidRPr="00181009" w:rsidRDefault="00181009" w:rsidP="00181009">
      <w:pPr>
        <w:rPr>
          <w:rFonts w:ascii="Arial" w:hAnsi="Arial" w:cs="Arial"/>
          <w:color w:val="FF0000"/>
        </w:rPr>
      </w:pPr>
      <w:r w:rsidRPr="00181009">
        <w:rPr>
          <w:rFonts w:ascii="Arial" w:hAnsi="Arial" w:cs="Arial"/>
          <w:color w:val="FF0000"/>
        </w:rPr>
        <w:t>Transition to qualification – employment</w:t>
      </w:r>
      <w:r>
        <w:rPr>
          <w:rFonts w:ascii="Arial" w:hAnsi="Arial" w:cs="Arial"/>
          <w:color w:val="FF0000"/>
        </w:rPr>
        <w:t xml:space="preserve"> ASYE </w:t>
      </w:r>
    </w:p>
    <w:p w14:paraId="061449AE" w14:textId="77777777" w:rsidR="00181009" w:rsidRPr="00181009" w:rsidRDefault="00181009" w:rsidP="00181009">
      <w:pPr>
        <w:rPr>
          <w:rFonts w:ascii="Arial" w:hAnsi="Arial" w:cs="Arial"/>
          <w:color w:val="FF0000"/>
        </w:rPr>
      </w:pPr>
    </w:p>
    <w:bookmarkStart w:id="0" w:name="_GoBack"/>
    <w:bookmarkEnd w:id="0"/>
    <w:p w14:paraId="4E9EE86F" w14:textId="0F10D9CE" w:rsidR="00786209" w:rsidRPr="00851A19" w:rsidRDefault="00181009">
      <w:pPr>
        <w:rPr>
          <w:rFonts w:ascii="Arial" w:hAnsi="Arial" w:cs="Arial"/>
        </w:rPr>
      </w:pPr>
      <w:r w:rsidRPr="00851A19">
        <w:rPr>
          <w:rFonts w:ascii="Arial" w:hAnsi="Arial" w:cs="Arial"/>
        </w:rPr>
        <w:fldChar w:fldCharType="begin"/>
      </w:r>
      <w:r w:rsidRPr="00851A19">
        <w:rPr>
          <w:rFonts w:ascii="Arial" w:hAnsi="Arial" w:cs="Arial"/>
        </w:rPr>
        <w:instrText xml:space="preserve"> HYPERLINK "https://www.basw.co.uk/system/files/resources</w:instrText>
      </w:r>
      <w:r w:rsidRPr="00851A19">
        <w:rPr>
          <w:rFonts w:ascii="Arial" w:hAnsi="Arial" w:cs="Arial"/>
        </w:rPr>
        <w:instrText xml:space="preserve">/PCF%20Final%20Documents%20Overview%2011%20June%202018.pdf" </w:instrText>
      </w:r>
      <w:r w:rsidRPr="00851A19">
        <w:rPr>
          <w:rFonts w:ascii="Arial" w:hAnsi="Arial" w:cs="Arial"/>
        </w:rPr>
        <w:fldChar w:fldCharType="separate"/>
      </w:r>
      <w:r w:rsidR="00E42E44" w:rsidRPr="00851A19">
        <w:rPr>
          <w:rStyle w:val="Hyperlink"/>
          <w:rFonts w:ascii="Arial" w:hAnsi="Arial" w:cs="Arial"/>
        </w:rPr>
        <w:t>https://www.basw.co.uk/system/files/resources/PCF%20Final%20Documents%20Overview%2011%20June%202018.pdf</w:t>
      </w:r>
      <w:r w:rsidRPr="00851A19">
        <w:rPr>
          <w:rStyle w:val="Hyperlink"/>
          <w:rFonts w:ascii="Arial" w:hAnsi="Arial" w:cs="Arial"/>
        </w:rPr>
        <w:fldChar w:fldCharType="end"/>
      </w:r>
      <w:r w:rsidR="00E42E44" w:rsidRPr="00851A19">
        <w:rPr>
          <w:rFonts w:ascii="Arial" w:hAnsi="Arial" w:cs="Arial"/>
        </w:rPr>
        <w:t xml:space="preserve"> accessed 11</w:t>
      </w:r>
      <w:r w:rsidR="00E42E44" w:rsidRPr="00851A19">
        <w:rPr>
          <w:rFonts w:ascii="Arial" w:hAnsi="Arial" w:cs="Arial"/>
          <w:vertAlign w:val="superscript"/>
        </w:rPr>
        <w:t>th</w:t>
      </w:r>
      <w:r w:rsidR="00E42E44" w:rsidRPr="00851A19">
        <w:rPr>
          <w:rFonts w:ascii="Arial" w:hAnsi="Arial" w:cs="Arial"/>
        </w:rPr>
        <w:t xml:space="preserve"> Sept 2018</w:t>
      </w:r>
    </w:p>
    <w:sectPr w:rsidR="00786209" w:rsidRPr="00851A19" w:rsidSect="007132D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26"/>
    <w:rsid w:val="00181009"/>
    <w:rsid w:val="007132D7"/>
    <w:rsid w:val="007779F8"/>
    <w:rsid w:val="00851A19"/>
    <w:rsid w:val="00856326"/>
    <w:rsid w:val="00D410B7"/>
    <w:rsid w:val="00E42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5C8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6326"/>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E42E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90230">
      <w:bodyDiv w:val="1"/>
      <w:marLeft w:val="0"/>
      <w:marRight w:val="0"/>
      <w:marTop w:val="0"/>
      <w:marBottom w:val="0"/>
      <w:divBdr>
        <w:top w:val="none" w:sz="0" w:space="0" w:color="auto"/>
        <w:left w:val="none" w:sz="0" w:space="0" w:color="auto"/>
        <w:bottom w:val="none" w:sz="0" w:space="0" w:color="auto"/>
        <w:right w:val="none" w:sz="0" w:space="0" w:color="auto"/>
      </w:divBdr>
      <w:divsChild>
        <w:div w:id="516314884">
          <w:marLeft w:val="0"/>
          <w:marRight w:val="0"/>
          <w:marTop w:val="0"/>
          <w:marBottom w:val="0"/>
          <w:divBdr>
            <w:top w:val="none" w:sz="0" w:space="0" w:color="auto"/>
            <w:left w:val="none" w:sz="0" w:space="0" w:color="auto"/>
            <w:bottom w:val="none" w:sz="0" w:space="0" w:color="auto"/>
            <w:right w:val="none" w:sz="0" w:space="0" w:color="auto"/>
          </w:divBdr>
          <w:divsChild>
            <w:div w:id="442964481">
              <w:marLeft w:val="0"/>
              <w:marRight w:val="0"/>
              <w:marTop w:val="0"/>
              <w:marBottom w:val="0"/>
              <w:divBdr>
                <w:top w:val="none" w:sz="0" w:space="0" w:color="auto"/>
                <w:left w:val="none" w:sz="0" w:space="0" w:color="auto"/>
                <w:bottom w:val="none" w:sz="0" w:space="0" w:color="auto"/>
                <w:right w:val="none" w:sz="0" w:space="0" w:color="auto"/>
              </w:divBdr>
              <w:divsChild>
                <w:div w:id="1923030859">
                  <w:marLeft w:val="0"/>
                  <w:marRight w:val="0"/>
                  <w:marTop w:val="0"/>
                  <w:marBottom w:val="0"/>
                  <w:divBdr>
                    <w:top w:val="none" w:sz="0" w:space="0" w:color="auto"/>
                    <w:left w:val="none" w:sz="0" w:space="0" w:color="auto"/>
                    <w:bottom w:val="none" w:sz="0" w:space="0" w:color="auto"/>
                    <w:right w:val="none" w:sz="0" w:space="0" w:color="auto"/>
                  </w:divBdr>
                  <w:divsChild>
                    <w:div w:id="14577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5384">
              <w:marLeft w:val="0"/>
              <w:marRight w:val="0"/>
              <w:marTop w:val="0"/>
              <w:marBottom w:val="0"/>
              <w:divBdr>
                <w:top w:val="none" w:sz="0" w:space="0" w:color="auto"/>
                <w:left w:val="none" w:sz="0" w:space="0" w:color="auto"/>
                <w:bottom w:val="none" w:sz="0" w:space="0" w:color="auto"/>
                <w:right w:val="none" w:sz="0" w:space="0" w:color="auto"/>
              </w:divBdr>
              <w:divsChild>
                <w:div w:id="1218976494">
                  <w:marLeft w:val="0"/>
                  <w:marRight w:val="0"/>
                  <w:marTop w:val="0"/>
                  <w:marBottom w:val="0"/>
                  <w:divBdr>
                    <w:top w:val="none" w:sz="0" w:space="0" w:color="auto"/>
                    <w:left w:val="none" w:sz="0" w:space="0" w:color="auto"/>
                    <w:bottom w:val="none" w:sz="0" w:space="0" w:color="auto"/>
                    <w:right w:val="none" w:sz="0" w:space="0" w:color="auto"/>
                  </w:divBdr>
                  <w:divsChild>
                    <w:div w:id="40372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04071">
              <w:marLeft w:val="0"/>
              <w:marRight w:val="0"/>
              <w:marTop w:val="0"/>
              <w:marBottom w:val="0"/>
              <w:divBdr>
                <w:top w:val="none" w:sz="0" w:space="0" w:color="auto"/>
                <w:left w:val="none" w:sz="0" w:space="0" w:color="auto"/>
                <w:bottom w:val="none" w:sz="0" w:space="0" w:color="auto"/>
                <w:right w:val="none" w:sz="0" w:space="0" w:color="auto"/>
              </w:divBdr>
              <w:divsChild>
                <w:div w:id="1463688270">
                  <w:marLeft w:val="0"/>
                  <w:marRight w:val="0"/>
                  <w:marTop w:val="0"/>
                  <w:marBottom w:val="0"/>
                  <w:divBdr>
                    <w:top w:val="none" w:sz="0" w:space="0" w:color="auto"/>
                    <w:left w:val="none" w:sz="0" w:space="0" w:color="auto"/>
                    <w:bottom w:val="none" w:sz="0" w:space="0" w:color="auto"/>
                    <w:right w:val="none" w:sz="0" w:space="0" w:color="auto"/>
                  </w:divBdr>
                  <w:divsChild>
                    <w:div w:id="190548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4275">
              <w:marLeft w:val="0"/>
              <w:marRight w:val="0"/>
              <w:marTop w:val="0"/>
              <w:marBottom w:val="0"/>
              <w:divBdr>
                <w:top w:val="none" w:sz="0" w:space="0" w:color="auto"/>
                <w:left w:val="none" w:sz="0" w:space="0" w:color="auto"/>
                <w:bottom w:val="none" w:sz="0" w:space="0" w:color="auto"/>
                <w:right w:val="none" w:sz="0" w:space="0" w:color="auto"/>
              </w:divBdr>
              <w:divsChild>
                <w:div w:id="2070881092">
                  <w:marLeft w:val="0"/>
                  <w:marRight w:val="0"/>
                  <w:marTop w:val="0"/>
                  <w:marBottom w:val="0"/>
                  <w:divBdr>
                    <w:top w:val="none" w:sz="0" w:space="0" w:color="auto"/>
                    <w:left w:val="none" w:sz="0" w:space="0" w:color="auto"/>
                    <w:bottom w:val="none" w:sz="0" w:space="0" w:color="auto"/>
                    <w:right w:val="none" w:sz="0" w:space="0" w:color="auto"/>
                  </w:divBdr>
                  <w:divsChild>
                    <w:div w:id="17656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0114">
              <w:marLeft w:val="0"/>
              <w:marRight w:val="0"/>
              <w:marTop w:val="0"/>
              <w:marBottom w:val="0"/>
              <w:divBdr>
                <w:top w:val="none" w:sz="0" w:space="0" w:color="auto"/>
                <w:left w:val="none" w:sz="0" w:space="0" w:color="auto"/>
                <w:bottom w:val="none" w:sz="0" w:space="0" w:color="auto"/>
                <w:right w:val="none" w:sz="0" w:space="0" w:color="auto"/>
              </w:divBdr>
              <w:divsChild>
                <w:div w:id="1430615615">
                  <w:marLeft w:val="0"/>
                  <w:marRight w:val="0"/>
                  <w:marTop w:val="0"/>
                  <w:marBottom w:val="0"/>
                  <w:divBdr>
                    <w:top w:val="none" w:sz="0" w:space="0" w:color="auto"/>
                    <w:left w:val="none" w:sz="0" w:space="0" w:color="auto"/>
                    <w:bottom w:val="none" w:sz="0" w:space="0" w:color="auto"/>
                    <w:right w:val="none" w:sz="0" w:space="0" w:color="auto"/>
                  </w:divBdr>
                  <w:divsChild>
                    <w:div w:id="208983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7107">
              <w:marLeft w:val="0"/>
              <w:marRight w:val="0"/>
              <w:marTop w:val="0"/>
              <w:marBottom w:val="0"/>
              <w:divBdr>
                <w:top w:val="none" w:sz="0" w:space="0" w:color="auto"/>
                <w:left w:val="none" w:sz="0" w:space="0" w:color="auto"/>
                <w:bottom w:val="none" w:sz="0" w:space="0" w:color="auto"/>
                <w:right w:val="none" w:sz="0" w:space="0" w:color="auto"/>
              </w:divBdr>
              <w:divsChild>
                <w:div w:id="1482190522">
                  <w:marLeft w:val="0"/>
                  <w:marRight w:val="0"/>
                  <w:marTop w:val="0"/>
                  <w:marBottom w:val="0"/>
                  <w:divBdr>
                    <w:top w:val="none" w:sz="0" w:space="0" w:color="auto"/>
                    <w:left w:val="none" w:sz="0" w:space="0" w:color="auto"/>
                    <w:bottom w:val="none" w:sz="0" w:space="0" w:color="auto"/>
                    <w:right w:val="none" w:sz="0" w:space="0" w:color="auto"/>
                  </w:divBdr>
                  <w:divsChild>
                    <w:div w:id="3438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8758">
              <w:marLeft w:val="0"/>
              <w:marRight w:val="0"/>
              <w:marTop w:val="0"/>
              <w:marBottom w:val="0"/>
              <w:divBdr>
                <w:top w:val="none" w:sz="0" w:space="0" w:color="auto"/>
                <w:left w:val="none" w:sz="0" w:space="0" w:color="auto"/>
                <w:bottom w:val="none" w:sz="0" w:space="0" w:color="auto"/>
                <w:right w:val="none" w:sz="0" w:space="0" w:color="auto"/>
              </w:divBdr>
              <w:divsChild>
                <w:div w:id="709383770">
                  <w:marLeft w:val="0"/>
                  <w:marRight w:val="0"/>
                  <w:marTop w:val="0"/>
                  <w:marBottom w:val="0"/>
                  <w:divBdr>
                    <w:top w:val="none" w:sz="0" w:space="0" w:color="auto"/>
                    <w:left w:val="none" w:sz="0" w:space="0" w:color="auto"/>
                    <w:bottom w:val="none" w:sz="0" w:space="0" w:color="auto"/>
                    <w:right w:val="none" w:sz="0" w:space="0" w:color="auto"/>
                  </w:divBdr>
                  <w:divsChild>
                    <w:div w:id="24268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10137">
              <w:marLeft w:val="0"/>
              <w:marRight w:val="0"/>
              <w:marTop w:val="0"/>
              <w:marBottom w:val="0"/>
              <w:divBdr>
                <w:top w:val="none" w:sz="0" w:space="0" w:color="auto"/>
                <w:left w:val="none" w:sz="0" w:space="0" w:color="auto"/>
                <w:bottom w:val="none" w:sz="0" w:space="0" w:color="auto"/>
                <w:right w:val="none" w:sz="0" w:space="0" w:color="auto"/>
              </w:divBdr>
              <w:divsChild>
                <w:div w:id="1617634144">
                  <w:marLeft w:val="0"/>
                  <w:marRight w:val="0"/>
                  <w:marTop w:val="0"/>
                  <w:marBottom w:val="0"/>
                  <w:divBdr>
                    <w:top w:val="none" w:sz="0" w:space="0" w:color="auto"/>
                    <w:left w:val="none" w:sz="0" w:space="0" w:color="auto"/>
                    <w:bottom w:val="none" w:sz="0" w:space="0" w:color="auto"/>
                    <w:right w:val="none" w:sz="0" w:space="0" w:color="auto"/>
                  </w:divBdr>
                  <w:divsChild>
                    <w:div w:id="15572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532515">
          <w:marLeft w:val="0"/>
          <w:marRight w:val="0"/>
          <w:marTop w:val="0"/>
          <w:marBottom w:val="0"/>
          <w:divBdr>
            <w:top w:val="none" w:sz="0" w:space="0" w:color="auto"/>
            <w:left w:val="none" w:sz="0" w:space="0" w:color="auto"/>
            <w:bottom w:val="none" w:sz="0" w:space="0" w:color="auto"/>
            <w:right w:val="none" w:sz="0" w:space="0" w:color="auto"/>
          </w:divBdr>
          <w:divsChild>
            <w:div w:id="915557456">
              <w:marLeft w:val="0"/>
              <w:marRight w:val="0"/>
              <w:marTop w:val="0"/>
              <w:marBottom w:val="0"/>
              <w:divBdr>
                <w:top w:val="none" w:sz="0" w:space="0" w:color="auto"/>
                <w:left w:val="none" w:sz="0" w:space="0" w:color="auto"/>
                <w:bottom w:val="none" w:sz="0" w:space="0" w:color="auto"/>
                <w:right w:val="none" w:sz="0" w:space="0" w:color="auto"/>
              </w:divBdr>
              <w:divsChild>
                <w:div w:id="1190795400">
                  <w:marLeft w:val="0"/>
                  <w:marRight w:val="0"/>
                  <w:marTop w:val="0"/>
                  <w:marBottom w:val="0"/>
                  <w:divBdr>
                    <w:top w:val="none" w:sz="0" w:space="0" w:color="auto"/>
                    <w:left w:val="none" w:sz="0" w:space="0" w:color="auto"/>
                    <w:bottom w:val="none" w:sz="0" w:space="0" w:color="auto"/>
                    <w:right w:val="none" w:sz="0" w:space="0" w:color="auto"/>
                  </w:divBdr>
                  <w:divsChild>
                    <w:div w:id="139601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19ACB10B4D3045B1DDCE83F66D9CBB" ma:contentTypeVersion="1" ma:contentTypeDescription="Create a new document." ma:contentTypeScope="" ma:versionID="2ff89124c9af6d3676dc4009bdaf131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02FCA44-A833-4DE3-BA2F-A42C920AB093}"/>
</file>

<file path=customXml/itemProps2.xml><?xml version="1.0" encoding="utf-8"?>
<ds:datastoreItem xmlns:ds="http://schemas.openxmlformats.org/officeDocument/2006/customXml" ds:itemID="{AE001A54-500A-4904-BC7A-E90D21D8B671}"/>
</file>

<file path=customXml/itemProps3.xml><?xml version="1.0" encoding="utf-8"?>
<ds:datastoreItem xmlns:ds="http://schemas.openxmlformats.org/officeDocument/2006/customXml" ds:itemID="{8D375889-D506-4EFB-A231-BD0467C4100D}"/>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Tillie Curran</dc:creator>
  <cp:keywords/>
  <dc:description/>
  <cp:lastModifiedBy>Anna Elliott</cp:lastModifiedBy>
  <cp:revision>2</cp:revision>
  <dcterms:created xsi:type="dcterms:W3CDTF">2018-09-12T15:17:00Z</dcterms:created>
  <dcterms:modified xsi:type="dcterms:W3CDTF">2018-09-12T15:17:00Z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0x010100B719ACB10B4D3045B1DDCE83F66D9CBB</vt:lpwstr>
  </property>
</Properties>
</file>