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4" w:rsidRPr="0065623F" w:rsidRDefault="00F30AC4" w:rsidP="00F30AC4">
      <w:pPr>
        <w:spacing w:line="240" w:lineRule="auto"/>
        <w:rPr>
          <w:rFonts w:eastAsiaTheme="majorEastAsia" w:cstheme="majorBidi"/>
          <w:b/>
          <w:bCs/>
          <w:color w:val="44546A" w:themeColor="text2"/>
          <w:sz w:val="28"/>
          <w:szCs w:val="26"/>
        </w:rPr>
      </w:pPr>
    </w:p>
    <w:p w:rsidR="00F30AC4" w:rsidRPr="00974E4E" w:rsidRDefault="00F30AC4" w:rsidP="00F30AC4">
      <w:pPr>
        <w:pStyle w:val="Heading2"/>
      </w:pPr>
      <w:bookmarkStart w:id="0" w:name="_Toc467578360"/>
      <w:bookmarkStart w:id="1" w:name="_Toc467579192"/>
      <w:r w:rsidRPr="00974E4E">
        <w:t>Tutorial Support</w:t>
      </w:r>
      <w:bookmarkEnd w:id="0"/>
      <w:bookmarkEnd w:id="1"/>
    </w:p>
    <w:p w:rsidR="00F30AC4" w:rsidRPr="00974E4E" w:rsidRDefault="00F30AC4" w:rsidP="00F30AC4">
      <w:r w:rsidRPr="00974E4E">
        <w:t xml:space="preserve">Just prior to going out on </w:t>
      </w:r>
      <w:proofErr w:type="gramStart"/>
      <w:r w:rsidRPr="00974E4E">
        <w:t>placement</w:t>
      </w:r>
      <w:proofErr w:type="gramEnd"/>
      <w:r w:rsidRPr="00974E4E">
        <w:t xml:space="preserve"> each student is allocated a UWE Placement Support Tutor to review their learning contract and conduct a midway tutorial. The midway tutorial is an opportunity for the student to discuss their strengths and weaknesses related to the learning needs in their learning contract with the practice educator (PE) and a UWE staff member.</w:t>
      </w:r>
    </w:p>
    <w:p w:rsidR="00F30AC4" w:rsidRPr="00974E4E" w:rsidRDefault="00F30AC4" w:rsidP="00F30AC4"/>
    <w:p w:rsidR="00F30AC4" w:rsidRPr="00974E4E" w:rsidRDefault="00F30AC4" w:rsidP="00F30AC4">
      <w:pPr>
        <w:rPr>
          <w:u w:val="single"/>
        </w:rPr>
      </w:pPr>
      <w:proofErr w:type="gramStart"/>
      <w:r w:rsidRPr="00974E4E">
        <w:rPr>
          <w:u w:val="single"/>
        </w:rPr>
        <w:t>Midway tutorials are normally carried out by telephone, or other form of electronic communication (e.g. video conferencing by Skype, if available)</w:t>
      </w:r>
      <w:proofErr w:type="gramEnd"/>
      <w:r w:rsidRPr="00974E4E">
        <w:rPr>
          <w:u w:val="single"/>
        </w:rPr>
        <w:t>. Exceptions to this, where the UWE tutor can carry out a visit to the student and PE at the placement location are outlined below.</w:t>
      </w:r>
    </w:p>
    <w:p w:rsidR="00F30AC4" w:rsidRPr="00974E4E" w:rsidRDefault="00F30AC4" w:rsidP="00F30AC4">
      <w:pPr>
        <w:rPr>
          <w:u w:val="single"/>
        </w:rPr>
      </w:pPr>
    </w:p>
    <w:p w:rsidR="00F30AC4" w:rsidRPr="00974E4E" w:rsidRDefault="00F30AC4" w:rsidP="00F30AC4">
      <w:r w:rsidRPr="00974E4E">
        <w:t>The normal process of interaction between UWE, the student on placement and the PE will be as follows:</w:t>
      </w:r>
    </w:p>
    <w:p w:rsidR="00F30AC4" w:rsidRPr="00A14C2D" w:rsidRDefault="00F30AC4" w:rsidP="00F30AC4">
      <w:pPr>
        <w:pStyle w:val="ListParagraph"/>
        <w:numPr>
          <w:ilvl w:val="0"/>
          <w:numId w:val="1"/>
        </w:numPr>
        <w:rPr>
          <w:rFonts w:ascii="Arial" w:hAnsi="Arial"/>
        </w:rPr>
      </w:pPr>
      <w:r w:rsidRPr="00A14C2D">
        <w:rPr>
          <w:rFonts w:ascii="Arial" w:hAnsi="Arial"/>
        </w:rPr>
        <w:t>Pre-placement preparation week at UWE – students are advised of the UWE tutor who will be carrying out the midway tutorial</w:t>
      </w:r>
    </w:p>
    <w:p w:rsidR="00F30AC4" w:rsidRPr="00A14C2D" w:rsidRDefault="00F30AC4" w:rsidP="00F30AC4">
      <w:pPr>
        <w:pStyle w:val="ListParagraph"/>
        <w:numPr>
          <w:ilvl w:val="0"/>
          <w:numId w:val="1"/>
        </w:numPr>
        <w:rPr>
          <w:rFonts w:ascii="Arial" w:hAnsi="Arial"/>
        </w:rPr>
      </w:pPr>
      <w:r w:rsidRPr="00A14C2D">
        <w:rPr>
          <w:rFonts w:ascii="Arial" w:hAnsi="Arial"/>
        </w:rPr>
        <w:t>By end of week 2 of placement the students will have liaised with their PE and made contact with their allocated UWE tutor to arrange a date for the midway tutorial (Please note that the onus is on the student to make these arrangements)</w:t>
      </w:r>
    </w:p>
    <w:p w:rsidR="00F30AC4" w:rsidRPr="00A14C2D" w:rsidRDefault="00F30AC4" w:rsidP="00F30AC4">
      <w:pPr>
        <w:pStyle w:val="ListParagraph"/>
        <w:numPr>
          <w:ilvl w:val="0"/>
          <w:numId w:val="1"/>
        </w:numPr>
        <w:rPr>
          <w:rFonts w:ascii="Arial" w:hAnsi="Arial"/>
        </w:rPr>
      </w:pPr>
      <w:r>
        <w:rPr>
          <w:rFonts w:ascii="Arial" w:hAnsi="Arial"/>
        </w:rPr>
        <w:t xml:space="preserve">Tuesday </w:t>
      </w:r>
      <w:r w:rsidRPr="00A14C2D">
        <w:rPr>
          <w:rFonts w:ascii="Arial" w:hAnsi="Arial"/>
        </w:rPr>
        <w:t>of week 3 of placement – student to e-mail learning contract to UWE tutor.</w:t>
      </w:r>
    </w:p>
    <w:p w:rsidR="00F30AC4" w:rsidRPr="00A14C2D" w:rsidRDefault="00F30AC4" w:rsidP="00F30AC4">
      <w:pPr>
        <w:pStyle w:val="ListParagraph"/>
        <w:numPr>
          <w:ilvl w:val="0"/>
          <w:numId w:val="1"/>
        </w:numPr>
        <w:rPr>
          <w:rFonts w:ascii="Arial" w:hAnsi="Arial"/>
        </w:rPr>
      </w:pPr>
      <w:r w:rsidRPr="00A14C2D">
        <w:rPr>
          <w:rFonts w:ascii="Arial" w:hAnsi="Arial"/>
        </w:rPr>
        <w:t xml:space="preserve">UWE tutor to review learning contract and feedback to student prior to midway tutorial. It </w:t>
      </w:r>
      <w:proofErr w:type="gramStart"/>
      <w:r w:rsidRPr="00A14C2D">
        <w:rPr>
          <w:rFonts w:ascii="Arial" w:hAnsi="Arial"/>
        </w:rPr>
        <w:t>is reviewed</w:t>
      </w:r>
      <w:proofErr w:type="gramEnd"/>
      <w:r w:rsidRPr="00A14C2D">
        <w:rPr>
          <w:rFonts w:ascii="Arial" w:hAnsi="Arial"/>
        </w:rPr>
        <w:t xml:space="preserve"> for consistency with learning outcomes, achievability and fairness, and any comments or suggestions to modify it will be communicated to both the student and the practice educator. The midway tutor will aim to respond within 5 working days.</w:t>
      </w:r>
    </w:p>
    <w:p w:rsidR="00F30AC4" w:rsidRPr="00A14C2D" w:rsidRDefault="00F30AC4" w:rsidP="00F30AC4">
      <w:pPr>
        <w:pStyle w:val="ListParagraph"/>
        <w:numPr>
          <w:ilvl w:val="0"/>
          <w:numId w:val="1"/>
        </w:numPr>
        <w:rPr>
          <w:rFonts w:ascii="Arial" w:hAnsi="Arial"/>
        </w:rPr>
      </w:pPr>
      <w:r w:rsidRPr="00A14C2D">
        <w:rPr>
          <w:rFonts w:ascii="Arial" w:hAnsi="Arial"/>
        </w:rPr>
        <w:t>Week 4</w:t>
      </w:r>
      <w:r>
        <w:rPr>
          <w:rFonts w:ascii="Arial" w:hAnsi="Arial"/>
        </w:rPr>
        <w:t>,</w:t>
      </w:r>
      <w:r w:rsidRPr="00A14C2D">
        <w:rPr>
          <w:rFonts w:ascii="Arial" w:hAnsi="Arial"/>
        </w:rPr>
        <w:t xml:space="preserve"> 5 </w:t>
      </w:r>
      <w:r>
        <w:rPr>
          <w:rFonts w:ascii="Arial" w:hAnsi="Arial"/>
        </w:rPr>
        <w:t xml:space="preserve">or 6 </w:t>
      </w:r>
      <w:r w:rsidRPr="00A14C2D">
        <w:rPr>
          <w:rFonts w:ascii="Arial" w:hAnsi="Arial"/>
        </w:rPr>
        <w:t xml:space="preserve">of placement – midway tutorial to take place over telephone, or otherwise, as outlined above. UWE tutors and students </w:t>
      </w:r>
      <w:proofErr w:type="gramStart"/>
      <w:r w:rsidRPr="00A14C2D">
        <w:rPr>
          <w:rFonts w:ascii="Arial" w:hAnsi="Arial"/>
        </w:rPr>
        <w:t>have been provided</w:t>
      </w:r>
      <w:proofErr w:type="gramEnd"/>
      <w:r w:rsidRPr="00A14C2D">
        <w:rPr>
          <w:rFonts w:ascii="Arial" w:hAnsi="Arial"/>
        </w:rPr>
        <w:t xml:space="preserve"> </w:t>
      </w:r>
      <w:r w:rsidRPr="00A14C2D">
        <w:rPr>
          <w:rFonts w:ascii="Arial" w:hAnsi="Arial"/>
        </w:rPr>
        <w:lastRenderedPageBreak/>
        <w:t>with updated agendas for the discussion in the midway tutorial</w:t>
      </w:r>
      <w:r>
        <w:rPr>
          <w:rFonts w:ascii="Arial" w:hAnsi="Arial"/>
        </w:rPr>
        <w:t xml:space="preserve"> that</w:t>
      </w:r>
      <w:r w:rsidRPr="00A14C2D">
        <w:rPr>
          <w:rFonts w:ascii="Arial" w:hAnsi="Arial"/>
        </w:rPr>
        <w:t xml:space="preserve"> they should follow.</w:t>
      </w:r>
    </w:p>
    <w:p w:rsidR="00F30AC4" w:rsidRPr="00974E4E" w:rsidRDefault="00F30AC4" w:rsidP="00F30AC4">
      <w:r w:rsidRPr="00974E4E">
        <w:t xml:space="preserve">The ‘Criteria for Evaluation’ in the learning contract provide the student and the practice educator (PE) with the benchmarks for success or failure of the student to achieve the placement </w:t>
      </w:r>
      <w:r>
        <w:t>competencies</w:t>
      </w:r>
      <w:r w:rsidRPr="00974E4E">
        <w:t>. Therefore, it is vital that there is agreement between the student, the PE and the member of UWE staff in the midway tutorial that the learning contract is consistent</w:t>
      </w:r>
      <w:r>
        <w:t xml:space="preserve"> with the</w:t>
      </w:r>
      <w:r w:rsidRPr="00974E4E">
        <w:t xml:space="preserve"> placement competencies for the module, </w:t>
      </w:r>
      <w:r>
        <w:t xml:space="preserve">that it is </w:t>
      </w:r>
      <w:r w:rsidRPr="00974E4E">
        <w:t>fair and achievable.</w:t>
      </w:r>
    </w:p>
    <w:p w:rsidR="00F30AC4" w:rsidRPr="00974E4E" w:rsidRDefault="00F30AC4" w:rsidP="00F30AC4"/>
    <w:p w:rsidR="00F30AC4" w:rsidRPr="00974E4E" w:rsidRDefault="00F30AC4" w:rsidP="00F30AC4">
      <w:r w:rsidRPr="00974E4E">
        <w:t xml:space="preserve">The UWE tutor must have the opportunity to speak </w:t>
      </w:r>
      <w:proofErr w:type="gramStart"/>
      <w:r w:rsidRPr="00974E4E">
        <w:t>both with the student and the</w:t>
      </w:r>
      <w:proofErr w:type="gramEnd"/>
      <w:r w:rsidRPr="00974E4E">
        <w:t xml:space="preserve"> PE separately. Ideally, the student and the PE should be able to speak to the UWE tutor separately, in confidence. Arrangements for this to happen </w:t>
      </w:r>
      <w:proofErr w:type="gramStart"/>
      <w:r w:rsidRPr="00974E4E">
        <w:t>should be made</w:t>
      </w:r>
      <w:proofErr w:type="gramEnd"/>
      <w:r w:rsidRPr="00974E4E">
        <w:t xml:space="preserve"> prior to the phone call or other electronic communication. If this is difficult to arrange the student and/or PE should advise the tutor of the circumstances in which the midway tutorial will take place. The tutor may be able to make recommendations as to how satisfactory confidentiality </w:t>
      </w:r>
      <w:proofErr w:type="gramStart"/>
      <w:r w:rsidRPr="00974E4E">
        <w:t>can be achieved</w:t>
      </w:r>
      <w:proofErr w:type="gramEnd"/>
      <w:r w:rsidRPr="00974E4E">
        <w:t xml:space="preserve"> for the midway tutorial.</w:t>
      </w:r>
    </w:p>
    <w:p w:rsidR="00F30AC4" w:rsidRPr="00974E4E" w:rsidRDefault="00F30AC4" w:rsidP="00F30AC4">
      <w:r w:rsidRPr="00974E4E">
        <w:t xml:space="preserve">Follow-up telephone calls </w:t>
      </w:r>
      <w:proofErr w:type="gramStart"/>
      <w:r w:rsidRPr="00974E4E">
        <w:t>can be arranged</w:t>
      </w:r>
      <w:proofErr w:type="gramEnd"/>
      <w:r w:rsidRPr="00974E4E">
        <w:t xml:space="preserve"> if there are matters outstanding.</w:t>
      </w:r>
    </w:p>
    <w:p w:rsidR="00F30AC4" w:rsidRPr="00974E4E" w:rsidRDefault="00F30AC4" w:rsidP="00F30AC4"/>
    <w:p w:rsidR="00F30AC4" w:rsidRPr="00974E4E" w:rsidRDefault="00F30AC4" w:rsidP="00F30AC4">
      <w:pPr>
        <w:pStyle w:val="Heading3"/>
      </w:pPr>
      <w:bookmarkStart w:id="2" w:name="_Toc467579193"/>
      <w:r w:rsidRPr="00974E4E">
        <w:t>Exceptions to midway tutorial by telephone or other electronic media.</w:t>
      </w:r>
      <w:bookmarkEnd w:id="2"/>
    </w:p>
    <w:p w:rsidR="00F30AC4" w:rsidRPr="00974E4E" w:rsidRDefault="00F30AC4" w:rsidP="00F30AC4">
      <w:r w:rsidRPr="00974E4E">
        <w:t>Whilst midway tutorials by telephone are considered the ‘norm’ for students, there are exceptions, which can justify a visit to the placement location in person by the UWE tutor. Examples of these might be as follows:</w:t>
      </w:r>
    </w:p>
    <w:p w:rsidR="00F30AC4" w:rsidRPr="00DE7BAC" w:rsidRDefault="00F30AC4" w:rsidP="00F30AC4">
      <w:pPr>
        <w:pStyle w:val="ListParagraph"/>
        <w:numPr>
          <w:ilvl w:val="0"/>
          <w:numId w:val="2"/>
        </w:numPr>
        <w:rPr>
          <w:rFonts w:ascii="Arial" w:hAnsi="Arial"/>
        </w:rPr>
      </w:pPr>
      <w:r w:rsidRPr="00DE7BAC">
        <w:rPr>
          <w:rFonts w:ascii="Arial" w:hAnsi="Arial"/>
        </w:rPr>
        <w:t xml:space="preserve">Where a student </w:t>
      </w:r>
      <w:proofErr w:type="gramStart"/>
      <w:r w:rsidRPr="00DE7BAC">
        <w:rPr>
          <w:rFonts w:ascii="Arial" w:hAnsi="Arial"/>
        </w:rPr>
        <w:t>is deemed</w:t>
      </w:r>
      <w:proofErr w:type="gramEnd"/>
      <w:r w:rsidRPr="00DE7BAC">
        <w:rPr>
          <w:rFonts w:ascii="Arial" w:hAnsi="Arial"/>
        </w:rPr>
        <w:t xml:space="preserve"> by the PE to be having difficulty in settling in to the placement, or is not addressing some or all of the goals on their learning contract. In this instance, the PE can contact the tutor directly to request a visit.</w:t>
      </w:r>
    </w:p>
    <w:p w:rsidR="00F30AC4" w:rsidRPr="00DE7BAC" w:rsidRDefault="00F30AC4" w:rsidP="00F30AC4">
      <w:pPr>
        <w:pStyle w:val="ListParagraph"/>
        <w:numPr>
          <w:ilvl w:val="0"/>
          <w:numId w:val="2"/>
        </w:numPr>
        <w:rPr>
          <w:rFonts w:ascii="Arial" w:hAnsi="Arial"/>
        </w:rPr>
      </w:pPr>
      <w:r w:rsidRPr="00DE7BAC">
        <w:rPr>
          <w:rFonts w:ascii="Arial" w:hAnsi="Arial"/>
        </w:rPr>
        <w:t>Where a student feels that they are having difficulty with aspects of the placement, or in meeting the goals of their learning contract and require support from a UWE tutor. However, the student must always discuss this with their PE first and agree that a visit by a UWE tutor is necessary</w:t>
      </w:r>
    </w:p>
    <w:p w:rsidR="00F30AC4" w:rsidRPr="00DE7BAC" w:rsidRDefault="00F30AC4" w:rsidP="00F30AC4">
      <w:pPr>
        <w:pStyle w:val="ListParagraph"/>
        <w:numPr>
          <w:ilvl w:val="0"/>
          <w:numId w:val="2"/>
        </w:numPr>
        <w:rPr>
          <w:rFonts w:ascii="Arial" w:hAnsi="Arial"/>
        </w:rPr>
      </w:pPr>
      <w:r w:rsidRPr="00DE7BAC">
        <w:rPr>
          <w:rFonts w:ascii="Arial" w:hAnsi="Arial"/>
        </w:rPr>
        <w:t>Where the PE may be taking a student on placement for the first time and would like the additional support of a visit in person</w:t>
      </w:r>
    </w:p>
    <w:p w:rsidR="00F30AC4" w:rsidRPr="00DE7BAC" w:rsidRDefault="00F30AC4" w:rsidP="00F30AC4">
      <w:pPr>
        <w:pStyle w:val="ListParagraph"/>
        <w:numPr>
          <w:ilvl w:val="0"/>
          <w:numId w:val="2"/>
        </w:numPr>
        <w:rPr>
          <w:rFonts w:ascii="Arial" w:hAnsi="Arial"/>
        </w:rPr>
      </w:pPr>
      <w:r w:rsidRPr="00DE7BAC">
        <w:rPr>
          <w:rFonts w:ascii="Arial" w:hAnsi="Arial"/>
        </w:rPr>
        <w:lastRenderedPageBreak/>
        <w:t>Where a UWE tutor may have cause for concern, perhaps due to academic performance or previous placement performance.</w:t>
      </w:r>
    </w:p>
    <w:p w:rsidR="00F30AC4" w:rsidRPr="00DE7BAC" w:rsidRDefault="00F30AC4" w:rsidP="00F30AC4">
      <w:pPr>
        <w:pStyle w:val="ListParagraph"/>
        <w:numPr>
          <w:ilvl w:val="0"/>
          <w:numId w:val="2"/>
        </w:numPr>
        <w:rPr>
          <w:rFonts w:ascii="Arial" w:hAnsi="Arial"/>
        </w:rPr>
      </w:pPr>
      <w:r w:rsidRPr="00DE7BAC">
        <w:rPr>
          <w:rFonts w:ascii="Arial" w:hAnsi="Arial"/>
        </w:rPr>
        <w:t xml:space="preserve">Where a student </w:t>
      </w:r>
      <w:proofErr w:type="gramStart"/>
      <w:r w:rsidRPr="00DE7BAC">
        <w:rPr>
          <w:rFonts w:ascii="Arial" w:hAnsi="Arial"/>
        </w:rPr>
        <w:t>is deemed</w:t>
      </w:r>
      <w:proofErr w:type="gramEnd"/>
      <w:r w:rsidRPr="00DE7BAC">
        <w:rPr>
          <w:rFonts w:ascii="Arial" w:hAnsi="Arial"/>
        </w:rPr>
        <w:t xml:space="preserve"> to be ‘failing’ by the PE. In this instance, </w:t>
      </w:r>
      <w:r w:rsidRPr="00DE7BAC">
        <w:rPr>
          <w:rFonts w:ascii="Arial" w:hAnsi="Arial"/>
          <w:u w:val="single"/>
        </w:rPr>
        <w:t>the placement must follow the ‘Failure Protocol’ set out in the student’s Practice Placement Portfolio and the information for practice educators available on the practice support net:</w:t>
      </w:r>
      <w:r w:rsidRPr="00DE7BAC">
        <w:rPr>
          <w:rFonts w:ascii="Arial" w:hAnsi="Arial"/>
        </w:rPr>
        <w:t xml:space="preserve"> (Follow ‘Guidance by Programme’) </w:t>
      </w:r>
      <w:r w:rsidRPr="00DE7BAC">
        <w:rPr>
          <w:rFonts w:ascii="Arial" w:hAnsi="Arial"/>
          <w:u w:val="single"/>
        </w:rPr>
        <w:t xml:space="preserve"> </w:t>
      </w:r>
      <w:hyperlink r:id="rId7" w:history="1">
        <w:r w:rsidRPr="00DE7BAC">
          <w:rPr>
            <w:rStyle w:val="Hyperlink"/>
            <w:rFonts w:ascii="Arial" w:hAnsi="Arial" w:cs="Arial"/>
          </w:rPr>
          <w:t>http://www1.uwe.ac.uk/students/practicesupportnet.aspx</w:t>
        </w:r>
      </w:hyperlink>
      <w:r w:rsidRPr="00DE7BAC">
        <w:rPr>
          <w:rFonts w:ascii="Arial" w:hAnsi="Arial"/>
        </w:rPr>
        <w:t xml:space="preserve"> </w:t>
      </w:r>
    </w:p>
    <w:p w:rsidR="00F30AC4" w:rsidRPr="006C7279" w:rsidRDefault="00F30AC4" w:rsidP="00F30AC4">
      <w:pPr>
        <w:pStyle w:val="ListParagraph"/>
        <w:numPr>
          <w:ilvl w:val="0"/>
          <w:numId w:val="2"/>
        </w:numPr>
        <w:rPr>
          <w:rFonts w:ascii="Arial" w:hAnsi="Arial"/>
        </w:rPr>
      </w:pPr>
      <w:r w:rsidRPr="006C7279">
        <w:rPr>
          <w:rFonts w:ascii="Arial" w:hAnsi="Arial"/>
        </w:rPr>
        <w:t xml:space="preserve">If a student fails any placement, one additional opportunity </w:t>
      </w:r>
      <w:proofErr w:type="gramStart"/>
      <w:r w:rsidRPr="006C7279">
        <w:rPr>
          <w:rFonts w:ascii="Arial" w:hAnsi="Arial"/>
        </w:rPr>
        <w:t>will be offered</w:t>
      </w:r>
      <w:proofErr w:type="gramEnd"/>
      <w:r w:rsidRPr="006C7279">
        <w:rPr>
          <w:rFonts w:ascii="Arial" w:hAnsi="Arial"/>
        </w:rPr>
        <w:t xml:space="preserve"> as long as the placement was not failed due to any evidenced risk of harm to clients.  If the student fails a first placement opportunity due to concerns regarding professional suitability, they </w:t>
      </w:r>
      <w:proofErr w:type="gramStart"/>
      <w:r w:rsidRPr="006C7279">
        <w:rPr>
          <w:rFonts w:ascii="Arial" w:hAnsi="Arial"/>
        </w:rPr>
        <w:t>will be referred</w:t>
      </w:r>
      <w:proofErr w:type="gramEnd"/>
      <w:r w:rsidRPr="006C7279">
        <w:rPr>
          <w:rFonts w:ascii="Arial" w:hAnsi="Arial"/>
        </w:rPr>
        <w:t xml:space="preserve"> through the Professional Suitability Procedure for investigation of those concerns.</w:t>
      </w:r>
    </w:p>
    <w:p w:rsidR="00F30AC4" w:rsidRPr="00DE7BAC" w:rsidRDefault="00F30AC4" w:rsidP="00F30AC4">
      <w:pPr>
        <w:pStyle w:val="ListParagraph"/>
        <w:numPr>
          <w:ilvl w:val="0"/>
          <w:numId w:val="2"/>
        </w:numPr>
        <w:rPr>
          <w:rFonts w:ascii="Arial" w:hAnsi="Arial"/>
        </w:rPr>
      </w:pPr>
      <w:r w:rsidRPr="00DE7BAC">
        <w:rPr>
          <w:rFonts w:ascii="Arial" w:hAnsi="Arial"/>
        </w:rPr>
        <w:t>If the PE decides that they would prefer the midway tutorial to take the form of a visit in person by the UWE tutor, then it would be helpful for the UWE tutor’s time management if this could advised to UWE within the first 2 weeks of the placement (unless it is a visit under the Failure Protocol).</w:t>
      </w:r>
    </w:p>
    <w:p w:rsidR="00F30AC4" w:rsidRDefault="00F30AC4" w:rsidP="00F30AC4">
      <w:pPr>
        <w:pStyle w:val="ListParagraph"/>
        <w:numPr>
          <w:ilvl w:val="0"/>
          <w:numId w:val="2"/>
        </w:numPr>
        <w:rPr>
          <w:rFonts w:ascii="Arial" w:hAnsi="Arial"/>
        </w:rPr>
      </w:pPr>
      <w:r w:rsidRPr="00DE7BAC">
        <w:rPr>
          <w:rFonts w:ascii="Arial" w:hAnsi="Arial"/>
        </w:rPr>
        <w:t>The table on the following page highlights the sequence of actions required by the student during placement.</w:t>
      </w:r>
    </w:p>
    <w:p w:rsidR="00F30AC4" w:rsidRDefault="00F30AC4" w:rsidP="00F30AC4">
      <w:pPr>
        <w:spacing w:line="240" w:lineRule="auto"/>
      </w:pPr>
      <w:r>
        <w:br w:type="page"/>
      </w:r>
    </w:p>
    <w:p w:rsidR="00F30AC4" w:rsidRDefault="00F30AC4" w:rsidP="00F30AC4"/>
    <w:p w:rsidR="00F30AC4" w:rsidRDefault="00F30AC4" w:rsidP="00F30AC4">
      <w:pPr>
        <w:pStyle w:val="Heading2"/>
      </w:pPr>
      <w:bookmarkStart w:id="3" w:name="_Toc467578361"/>
      <w:bookmarkStart w:id="4" w:name="_Toc467579194"/>
      <w:r>
        <w:t>Additional Support</w:t>
      </w:r>
      <w:bookmarkEnd w:id="3"/>
      <w:bookmarkEnd w:id="4"/>
    </w:p>
    <w:p w:rsidR="00F30AC4" w:rsidRDefault="00F30AC4" w:rsidP="00F30AC4">
      <w:r>
        <w:t xml:space="preserve">If </w:t>
      </w:r>
      <w:r w:rsidR="005D6887">
        <w:t xml:space="preserve">students </w:t>
      </w:r>
      <w:r>
        <w:t xml:space="preserve">experience problems whilst on placement that are </w:t>
      </w:r>
      <w:proofErr w:type="gramStart"/>
      <w:r>
        <w:t>impacting on</w:t>
      </w:r>
      <w:proofErr w:type="gramEnd"/>
      <w:r>
        <w:t xml:space="preserve"> </w:t>
      </w:r>
      <w:r w:rsidR="005D6887">
        <w:t>their</w:t>
      </w:r>
      <w:r>
        <w:t xml:space="preserve"> work, </w:t>
      </w:r>
      <w:r w:rsidR="005D6887">
        <w:t>they are advised to</w:t>
      </w:r>
      <w:r>
        <w:t xml:space="preserve"> speak to your Practice Educator and/ or midway tutor in the first instance. UWE Student Services also continue to be available to whilst on placement:</w:t>
      </w:r>
    </w:p>
    <w:p w:rsidR="00F30AC4" w:rsidRDefault="00F30AC4" w:rsidP="00F30AC4"/>
    <w:p w:rsidR="00F30AC4" w:rsidRDefault="00F30AC4" w:rsidP="00F30AC4">
      <w:pPr>
        <w:pStyle w:val="Heading4"/>
      </w:pPr>
      <w:r>
        <w:t xml:space="preserve">Student Support Advice Services: </w:t>
      </w:r>
    </w:p>
    <w:tbl>
      <w:tblPr>
        <w:tblW w:w="5000" w:type="pct"/>
        <w:tblCellMar>
          <w:top w:w="15" w:type="dxa"/>
          <w:left w:w="15" w:type="dxa"/>
          <w:bottom w:w="15" w:type="dxa"/>
          <w:right w:w="15" w:type="dxa"/>
        </w:tblCellMar>
        <w:tblLook w:val="04A0" w:firstRow="1" w:lastRow="0" w:firstColumn="1" w:lastColumn="0" w:noHBand="0" w:noVBand="1"/>
      </w:tblPr>
      <w:tblGrid>
        <w:gridCol w:w="9011"/>
        <w:gridCol w:w="15"/>
      </w:tblGrid>
      <w:tr w:rsidR="00F30AC4" w:rsidRPr="002B4C3B" w:rsidTr="000C6241">
        <w:tc>
          <w:tcPr>
            <w:tcW w:w="0" w:type="auto"/>
            <w:tcMar>
              <w:top w:w="0" w:type="dxa"/>
              <w:left w:w="0" w:type="dxa"/>
              <w:bottom w:w="0" w:type="dxa"/>
              <w:right w:w="0" w:type="dxa"/>
            </w:tcMar>
            <w:vAlign w:val="center"/>
            <w:hideMark/>
          </w:tcPr>
          <w:p w:rsidR="00F30AC4" w:rsidRDefault="00F30AC4" w:rsidP="000C6241">
            <w:pPr>
              <w:rPr>
                <w:rStyle w:val="Hyperlink"/>
              </w:rPr>
            </w:pPr>
            <w:r>
              <w:t>Email:</w:t>
            </w:r>
            <w:r w:rsidRPr="002B4C3B">
              <w:rPr>
                <w:rFonts w:ascii="inherit" w:hAnsi="inherit" w:cs="Segoe UI"/>
                <w:color w:val="444444"/>
                <w:sz w:val="23"/>
                <w:szCs w:val="23"/>
              </w:rPr>
              <w:t xml:space="preserve"> </w:t>
            </w:r>
            <w:hyperlink r:id="rId8" w:history="1">
              <w:r w:rsidRPr="002B4C3B">
                <w:rPr>
                  <w:rStyle w:val="Hyperlink"/>
                </w:rPr>
                <w:t>infopoint@uwe.ac.uk</w:t>
              </w:r>
            </w:hyperlink>
          </w:p>
          <w:p w:rsidR="00F30AC4" w:rsidRPr="002B4C3B" w:rsidRDefault="00F30AC4" w:rsidP="000C6241">
            <w:r>
              <w:t>Telephone:</w:t>
            </w:r>
            <w:r w:rsidRPr="002B4C3B">
              <w:rPr>
                <w:rFonts w:ascii="inherit" w:hAnsi="inherit" w:cs="Segoe UI"/>
                <w:color w:val="444444"/>
                <w:sz w:val="23"/>
                <w:szCs w:val="23"/>
              </w:rPr>
              <w:t xml:space="preserve"> </w:t>
            </w:r>
            <w:r w:rsidRPr="002B4C3B">
              <w:t>+44 (0)117 32 85678</w:t>
            </w:r>
          </w:p>
        </w:tc>
        <w:tc>
          <w:tcPr>
            <w:tcW w:w="0" w:type="auto"/>
            <w:tcMar>
              <w:top w:w="0" w:type="dxa"/>
              <w:left w:w="0" w:type="dxa"/>
              <w:bottom w:w="0" w:type="dxa"/>
              <w:right w:w="0" w:type="dxa"/>
            </w:tcMar>
            <w:vAlign w:val="center"/>
            <w:hideMark/>
          </w:tcPr>
          <w:p w:rsidR="00F30AC4" w:rsidRPr="002B4C3B" w:rsidRDefault="00F30AC4" w:rsidP="000C6241">
            <w:pPr>
              <w:spacing w:line="240" w:lineRule="auto"/>
              <w:rPr>
                <w:rFonts w:ascii="inherit" w:hAnsi="inherit" w:cs="Segoe UI"/>
                <w:color w:val="444444"/>
                <w:sz w:val="23"/>
                <w:szCs w:val="23"/>
              </w:rPr>
            </w:pPr>
          </w:p>
        </w:tc>
      </w:tr>
      <w:tr w:rsidR="00F30AC4" w:rsidRPr="002B4C3B" w:rsidTr="000C6241">
        <w:tc>
          <w:tcPr>
            <w:tcW w:w="0" w:type="auto"/>
            <w:tcMar>
              <w:top w:w="0" w:type="dxa"/>
              <w:left w:w="0" w:type="dxa"/>
              <w:bottom w:w="0" w:type="dxa"/>
              <w:right w:w="0" w:type="dxa"/>
            </w:tcMar>
            <w:vAlign w:val="center"/>
            <w:hideMark/>
          </w:tcPr>
          <w:p w:rsidR="00F30AC4" w:rsidRPr="002B4C3B" w:rsidRDefault="00F30AC4" w:rsidP="000C6241">
            <w:pPr>
              <w:spacing w:line="240" w:lineRule="auto"/>
              <w:rPr>
                <w:rFonts w:ascii="inherit" w:hAnsi="inherit" w:cs="Segoe UI"/>
                <w:color w:val="444444"/>
                <w:sz w:val="23"/>
                <w:szCs w:val="23"/>
              </w:rPr>
            </w:pPr>
          </w:p>
        </w:tc>
        <w:tc>
          <w:tcPr>
            <w:tcW w:w="0" w:type="auto"/>
            <w:tcMar>
              <w:top w:w="0" w:type="dxa"/>
              <w:left w:w="0" w:type="dxa"/>
              <w:bottom w:w="0" w:type="dxa"/>
              <w:right w:w="0" w:type="dxa"/>
            </w:tcMar>
            <w:vAlign w:val="center"/>
            <w:hideMark/>
          </w:tcPr>
          <w:p w:rsidR="00F30AC4" w:rsidRPr="002B4C3B" w:rsidRDefault="00F30AC4" w:rsidP="000C6241">
            <w:pPr>
              <w:spacing w:line="240" w:lineRule="auto"/>
              <w:rPr>
                <w:rFonts w:ascii="inherit" w:hAnsi="inherit" w:cs="Segoe UI"/>
                <w:color w:val="444444"/>
                <w:sz w:val="23"/>
                <w:szCs w:val="23"/>
              </w:rPr>
            </w:pPr>
          </w:p>
        </w:tc>
      </w:tr>
    </w:tbl>
    <w:p w:rsidR="00F30AC4" w:rsidRDefault="00F30AC4" w:rsidP="00F30AC4"/>
    <w:p w:rsidR="00F30AC4" w:rsidRDefault="00F30AC4" w:rsidP="00F30AC4">
      <w:pPr>
        <w:pStyle w:val="Heading4"/>
      </w:pPr>
      <w:r>
        <w:t xml:space="preserve">Student Wellbeing: </w:t>
      </w:r>
    </w:p>
    <w:p w:rsidR="00F30AC4" w:rsidRDefault="00F30AC4" w:rsidP="00F30AC4">
      <w:r>
        <w:t xml:space="preserve">Email: </w:t>
      </w:r>
      <w:hyperlink r:id="rId9" w:history="1">
        <w:r w:rsidRPr="00F32033">
          <w:rPr>
            <w:rStyle w:val="Hyperlink"/>
          </w:rPr>
          <w:t>wellbeing@uwe.ac.uk</w:t>
        </w:r>
      </w:hyperlink>
    </w:p>
    <w:p w:rsidR="00F30AC4" w:rsidRDefault="00F30AC4" w:rsidP="00F30AC4">
      <w:r>
        <w:t xml:space="preserve">Telephone: </w:t>
      </w:r>
      <w:r w:rsidRPr="002B4C3B">
        <w:t>+44 (0)117 32 86268</w:t>
      </w:r>
    </w:p>
    <w:p w:rsidR="00F30AC4" w:rsidRDefault="00F30AC4" w:rsidP="00F30AC4"/>
    <w:p w:rsidR="00F30AC4" w:rsidRPr="002B4C3B" w:rsidRDefault="00F30AC4" w:rsidP="00F30AC4">
      <w:pPr>
        <w:pStyle w:val="Heading4"/>
      </w:pPr>
      <w:r w:rsidRPr="00405A80">
        <w:t>Harassment and Bullying</w:t>
      </w:r>
    </w:p>
    <w:p w:rsidR="00F30AC4" w:rsidRPr="00CB71F4" w:rsidRDefault="00F30AC4" w:rsidP="00F30AC4">
      <w:pPr>
        <w:rPr>
          <w:bCs/>
        </w:rPr>
      </w:pPr>
      <w:r w:rsidRPr="00CB71F4">
        <w:t xml:space="preserve">We believe that all people, whether staff, </w:t>
      </w:r>
      <w:r>
        <w:t>students, service user</w:t>
      </w:r>
      <w:r w:rsidRPr="00CB71F4">
        <w:t xml:space="preserve"> or visitors, are entitled to an environment in </w:t>
      </w:r>
      <w:r w:rsidRPr="00CB71F4">
        <w:rPr>
          <w:bCs/>
        </w:rPr>
        <w:t xml:space="preserve">which the dignity of the individual </w:t>
      </w:r>
      <w:proofErr w:type="gramStart"/>
      <w:r w:rsidRPr="00CB71F4">
        <w:rPr>
          <w:bCs/>
        </w:rPr>
        <w:t>is respected</w:t>
      </w:r>
      <w:proofErr w:type="gramEnd"/>
      <w:r w:rsidRPr="00CB71F4">
        <w:rPr>
          <w:bCs/>
        </w:rPr>
        <w:t>.</w:t>
      </w:r>
    </w:p>
    <w:p w:rsidR="00F30AC4" w:rsidRDefault="00F30AC4" w:rsidP="00F30AC4">
      <w:r>
        <w:t xml:space="preserve">If you have any concerns about this please do discuss with your practice educator, midway tutor and / or refer </w:t>
      </w:r>
      <w:proofErr w:type="gramStart"/>
      <w:r>
        <w:t>to</w:t>
      </w:r>
      <w:proofErr w:type="gramEnd"/>
      <w:r>
        <w:t>:</w:t>
      </w:r>
    </w:p>
    <w:p w:rsidR="00F30AC4" w:rsidRPr="002665A9" w:rsidRDefault="00F30AC4" w:rsidP="00F30AC4">
      <w:hyperlink r:id="rId10" w:history="1">
        <w:r w:rsidRPr="00F32033">
          <w:rPr>
            <w:rStyle w:val="Hyperlink"/>
          </w:rPr>
          <w:t>http://www1.uwe.ac.uk/about/corporateinformation/equalityanddiversity/hateincidentreporting.aspx</w:t>
        </w:r>
      </w:hyperlink>
      <w:r>
        <w:t xml:space="preserve"> </w:t>
      </w:r>
    </w:p>
    <w:p w:rsidR="00F30AC4" w:rsidRDefault="00F30AC4" w:rsidP="00F30AC4">
      <w:pPr>
        <w:pStyle w:val="Heading2"/>
      </w:pPr>
    </w:p>
    <w:p w:rsidR="00F30AC4" w:rsidRDefault="00F30AC4" w:rsidP="00F30AC4"/>
    <w:p w:rsidR="00F30AC4" w:rsidRDefault="00F30AC4" w:rsidP="00F30AC4"/>
    <w:p w:rsidR="00F30AC4" w:rsidRDefault="00F30AC4" w:rsidP="00F30AC4"/>
    <w:p w:rsidR="00F30AC4" w:rsidRDefault="00F30AC4" w:rsidP="00F30AC4"/>
    <w:p w:rsidR="00F30AC4" w:rsidRDefault="00F30AC4" w:rsidP="00F30AC4"/>
    <w:p w:rsidR="00F30AC4" w:rsidRDefault="00F30AC4" w:rsidP="00F30AC4"/>
    <w:p w:rsidR="00F30AC4" w:rsidRDefault="00F30AC4" w:rsidP="00F30AC4"/>
    <w:p w:rsidR="00F30AC4" w:rsidRPr="00DE7BAC" w:rsidRDefault="00F30AC4" w:rsidP="00F30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59"/>
        <w:gridCol w:w="4870"/>
      </w:tblGrid>
      <w:tr w:rsidR="00F30AC4" w:rsidRPr="00974E4E" w:rsidTr="000C6241">
        <w:trPr>
          <w:trHeight w:val="621"/>
        </w:trPr>
        <w:tc>
          <w:tcPr>
            <w:tcW w:w="2093" w:type="dxa"/>
            <w:shd w:val="clear" w:color="auto" w:fill="FFFFFF" w:themeFill="background1"/>
          </w:tcPr>
          <w:p w:rsidR="00F30AC4" w:rsidRPr="00DE7BAC" w:rsidRDefault="00F30AC4" w:rsidP="000C6241">
            <w:pPr>
              <w:jc w:val="center"/>
              <w:rPr>
                <w:b/>
                <w:sz w:val="28"/>
                <w:szCs w:val="28"/>
              </w:rPr>
            </w:pPr>
            <w:r w:rsidRPr="00DE7BAC">
              <w:rPr>
                <w:b/>
                <w:sz w:val="28"/>
                <w:szCs w:val="28"/>
              </w:rPr>
              <w:t>Week number</w:t>
            </w:r>
          </w:p>
        </w:tc>
        <w:tc>
          <w:tcPr>
            <w:tcW w:w="1559" w:type="dxa"/>
            <w:shd w:val="clear" w:color="auto" w:fill="FFFFFF" w:themeFill="background1"/>
          </w:tcPr>
          <w:p w:rsidR="00F30AC4" w:rsidRPr="00DE7BAC" w:rsidRDefault="00F30AC4" w:rsidP="000C6241">
            <w:pPr>
              <w:jc w:val="center"/>
              <w:rPr>
                <w:b/>
                <w:sz w:val="28"/>
                <w:szCs w:val="28"/>
              </w:rPr>
            </w:pPr>
            <w:r w:rsidRPr="00DE7BAC">
              <w:rPr>
                <w:b/>
                <w:sz w:val="28"/>
                <w:szCs w:val="28"/>
              </w:rPr>
              <w:t>Student location</w:t>
            </w:r>
          </w:p>
        </w:tc>
        <w:tc>
          <w:tcPr>
            <w:tcW w:w="4870" w:type="dxa"/>
            <w:shd w:val="clear" w:color="auto" w:fill="FFFFFF" w:themeFill="background1"/>
          </w:tcPr>
          <w:p w:rsidR="00F30AC4" w:rsidRPr="00DE7BAC" w:rsidRDefault="00F30AC4" w:rsidP="000C6241">
            <w:pPr>
              <w:jc w:val="center"/>
              <w:rPr>
                <w:b/>
                <w:sz w:val="28"/>
                <w:szCs w:val="28"/>
              </w:rPr>
            </w:pPr>
            <w:r w:rsidRPr="00DE7BAC">
              <w:rPr>
                <w:b/>
                <w:sz w:val="28"/>
                <w:szCs w:val="28"/>
              </w:rPr>
              <w:t>Action required by student/UWE</w:t>
            </w:r>
          </w:p>
        </w:tc>
      </w:tr>
      <w:tr w:rsidR="00F30AC4" w:rsidRPr="00974E4E" w:rsidTr="000C6241">
        <w:tc>
          <w:tcPr>
            <w:tcW w:w="2093" w:type="dxa"/>
            <w:shd w:val="clear" w:color="auto" w:fill="A8D08D" w:themeFill="accent6" w:themeFillTint="99"/>
          </w:tcPr>
          <w:p w:rsidR="00F30AC4" w:rsidRPr="00974E4E" w:rsidRDefault="00F30AC4" w:rsidP="000C6241">
            <w:r w:rsidRPr="00974E4E">
              <w:t>Pre-placement preparation week</w:t>
            </w:r>
          </w:p>
        </w:tc>
        <w:tc>
          <w:tcPr>
            <w:tcW w:w="1559" w:type="dxa"/>
            <w:shd w:val="clear" w:color="auto" w:fill="A8D08D" w:themeFill="accent6" w:themeFillTint="99"/>
          </w:tcPr>
          <w:p w:rsidR="00F30AC4" w:rsidRPr="00974E4E" w:rsidRDefault="00F30AC4" w:rsidP="000C6241">
            <w:r w:rsidRPr="00974E4E">
              <w:t>UWE</w:t>
            </w:r>
          </w:p>
        </w:tc>
        <w:tc>
          <w:tcPr>
            <w:tcW w:w="4870" w:type="dxa"/>
            <w:shd w:val="clear" w:color="auto" w:fill="A8D08D" w:themeFill="accent6" w:themeFillTint="99"/>
          </w:tcPr>
          <w:p w:rsidR="00F30AC4" w:rsidRPr="00974E4E" w:rsidRDefault="00F30AC4" w:rsidP="000C6241">
            <w:r w:rsidRPr="00974E4E">
              <w:t>Students allocated tutors for duration of placement. Students to have contacted placements by phone, by this time.</w:t>
            </w:r>
          </w:p>
        </w:tc>
      </w:tr>
      <w:tr w:rsidR="00F30AC4" w:rsidRPr="00974E4E" w:rsidTr="000C6241">
        <w:trPr>
          <w:trHeight w:val="717"/>
        </w:trPr>
        <w:tc>
          <w:tcPr>
            <w:tcW w:w="2093" w:type="dxa"/>
            <w:shd w:val="clear" w:color="auto" w:fill="E2EFD9" w:themeFill="accent6" w:themeFillTint="33"/>
          </w:tcPr>
          <w:p w:rsidR="00F30AC4" w:rsidRPr="00974E4E" w:rsidRDefault="00F30AC4" w:rsidP="000C6241">
            <w:r w:rsidRPr="00974E4E">
              <w:t>Week 1</w:t>
            </w:r>
          </w:p>
        </w:tc>
        <w:tc>
          <w:tcPr>
            <w:tcW w:w="1559" w:type="dxa"/>
            <w:vMerge w:val="restart"/>
            <w:shd w:val="clear" w:color="auto" w:fill="E2EFD9" w:themeFill="accent6" w:themeFillTint="33"/>
          </w:tcPr>
          <w:p w:rsidR="00F30AC4" w:rsidRPr="00974E4E" w:rsidRDefault="00F30AC4" w:rsidP="000C6241">
            <w:r w:rsidRPr="00974E4E">
              <w:t>Placement</w:t>
            </w:r>
          </w:p>
          <w:p w:rsidR="00F30AC4" w:rsidRPr="00974E4E" w:rsidRDefault="00F30AC4" w:rsidP="000C6241"/>
        </w:tc>
        <w:tc>
          <w:tcPr>
            <w:tcW w:w="4870" w:type="dxa"/>
            <w:shd w:val="clear" w:color="auto" w:fill="E2EFD9" w:themeFill="accent6" w:themeFillTint="33"/>
          </w:tcPr>
          <w:p w:rsidR="00F30AC4" w:rsidRPr="00974E4E" w:rsidRDefault="00F30AC4" w:rsidP="000C6241"/>
        </w:tc>
      </w:tr>
      <w:tr w:rsidR="00F30AC4" w:rsidRPr="00974E4E" w:rsidTr="000C6241">
        <w:trPr>
          <w:trHeight w:val="597"/>
        </w:trPr>
        <w:tc>
          <w:tcPr>
            <w:tcW w:w="2093" w:type="dxa"/>
            <w:shd w:val="clear" w:color="auto" w:fill="E2EFD9" w:themeFill="accent6" w:themeFillTint="33"/>
          </w:tcPr>
          <w:p w:rsidR="00F30AC4" w:rsidRPr="00974E4E" w:rsidRDefault="00F30AC4" w:rsidP="000C6241">
            <w:r w:rsidRPr="00974E4E">
              <w:t>Week 2</w:t>
            </w:r>
          </w:p>
        </w:tc>
        <w:tc>
          <w:tcPr>
            <w:tcW w:w="1559" w:type="dxa"/>
            <w:vMerge/>
            <w:shd w:val="clear" w:color="auto" w:fill="E2EFD9" w:themeFill="accent6" w:themeFillTint="33"/>
          </w:tcPr>
          <w:p w:rsidR="00F30AC4" w:rsidRPr="00974E4E" w:rsidRDefault="00F30AC4" w:rsidP="000C6241"/>
        </w:tc>
        <w:tc>
          <w:tcPr>
            <w:tcW w:w="4870" w:type="dxa"/>
            <w:shd w:val="clear" w:color="auto" w:fill="E2EFD9" w:themeFill="accent6" w:themeFillTint="33"/>
          </w:tcPr>
          <w:p w:rsidR="00F30AC4" w:rsidRPr="00974E4E" w:rsidRDefault="00F30AC4" w:rsidP="000C6241">
            <w:r w:rsidRPr="00974E4E">
              <w:t>Student to contact UWE tutor to arrange tutorial by end of week</w:t>
            </w:r>
          </w:p>
        </w:tc>
      </w:tr>
      <w:tr w:rsidR="00F30AC4" w:rsidRPr="00974E4E" w:rsidTr="000C6241">
        <w:trPr>
          <w:trHeight w:val="696"/>
        </w:trPr>
        <w:tc>
          <w:tcPr>
            <w:tcW w:w="2093" w:type="dxa"/>
            <w:shd w:val="clear" w:color="auto" w:fill="E2EFD9" w:themeFill="accent6" w:themeFillTint="33"/>
          </w:tcPr>
          <w:p w:rsidR="00F30AC4" w:rsidRPr="00974E4E" w:rsidRDefault="00F30AC4" w:rsidP="000C6241">
            <w:r w:rsidRPr="00974E4E">
              <w:t>Week 3</w:t>
            </w:r>
          </w:p>
        </w:tc>
        <w:tc>
          <w:tcPr>
            <w:tcW w:w="1559" w:type="dxa"/>
            <w:vMerge/>
            <w:shd w:val="clear" w:color="auto" w:fill="E2EFD9" w:themeFill="accent6" w:themeFillTint="33"/>
          </w:tcPr>
          <w:p w:rsidR="00F30AC4" w:rsidRPr="00974E4E" w:rsidRDefault="00F30AC4" w:rsidP="000C6241"/>
        </w:tc>
        <w:tc>
          <w:tcPr>
            <w:tcW w:w="4870" w:type="dxa"/>
            <w:shd w:val="clear" w:color="auto" w:fill="E2EFD9" w:themeFill="accent6" w:themeFillTint="33"/>
          </w:tcPr>
          <w:p w:rsidR="00F30AC4" w:rsidRPr="00974E4E" w:rsidRDefault="00F30AC4" w:rsidP="000C6241">
            <w:r w:rsidRPr="00974E4E">
              <w:t xml:space="preserve">Students to submit learning contract by </w:t>
            </w:r>
            <w:r>
              <w:t>Tuesday of</w:t>
            </w:r>
            <w:r w:rsidRPr="00974E4E">
              <w:t xml:space="preserve"> week</w:t>
            </w:r>
            <w:r>
              <w:t xml:space="preserve"> 3</w:t>
            </w:r>
            <w:r w:rsidRPr="00974E4E">
              <w:t>.</w:t>
            </w:r>
          </w:p>
          <w:p w:rsidR="00F30AC4" w:rsidRPr="00974E4E" w:rsidRDefault="00F30AC4" w:rsidP="000C6241">
            <w:r w:rsidRPr="00974E4E">
              <w:t>UWE tutor reviews learning contract and responds to the student within 5 working days</w:t>
            </w:r>
            <w:r>
              <w:t xml:space="preserve"> if learning contract received on time</w:t>
            </w:r>
            <w:r w:rsidRPr="00974E4E">
              <w:t>.</w:t>
            </w:r>
          </w:p>
        </w:tc>
      </w:tr>
      <w:tr w:rsidR="00F30AC4" w:rsidRPr="00974E4E" w:rsidTr="000C6241">
        <w:trPr>
          <w:trHeight w:val="836"/>
        </w:trPr>
        <w:tc>
          <w:tcPr>
            <w:tcW w:w="2093" w:type="dxa"/>
            <w:shd w:val="clear" w:color="auto" w:fill="E2EFD9" w:themeFill="accent6" w:themeFillTint="33"/>
          </w:tcPr>
          <w:p w:rsidR="00F30AC4" w:rsidRPr="00974E4E" w:rsidRDefault="00F30AC4" w:rsidP="000C6241">
            <w:r w:rsidRPr="00974E4E">
              <w:t>Week 4</w:t>
            </w:r>
          </w:p>
        </w:tc>
        <w:tc>
          <w:tcPr>
            <w:tcW w:w="1559" w:type="dxa"/>
            <w:vMerge/>
            <w:shd w:val="clear" w:color="auto" w:fill="E2EFD9" w:themeFill="accent6" w:themeFillTint="33"/>
          </w:tcPr>
          <w:p w:rsidR="00F30AC4" w:rsidRPr="00974E4E" w:rsidRDefault="00F30AC4" w:rsidP="000C6241"/>
        </w:tc>
        <w:tc>
          <w:tcPr>
            <w:tcW w:w="4870" w:type="dxa"/>
            <w:vMerge w:val="restart"/>
            <w:shd w:val="clear" w:color="auto" w:fill="E2EFD9" w:themeFill="accent6" w:themeFillTint="33"/>
          </w:tcPr>
          <w:p w:rsidR="00F30AC4" w:rsidRPr="00974E4E" w:rsidRDefault="00F30AC4" w:rsidP="000C6241">
            <w:r w:rsidRPr="00974E4E">
              <w:t>Midway tutorial takes place in either week 4 or 5 for PP1, week 5 or 6 for PP2 and PRIP.</w:t>
            </w:r>
          </w:p>
        </w:tc>
      </w:tr>
      <w:tr w:rsidR="00F30AC4" w:rsidRPr="00974E4E" w:rsidTr="000C6241">
        <w:trPr>
          <w:trHeight w:val="459"/>
        </w:trPr>
        <w:tc>
          <w:tcPr>
            <w:tcW w:w="2093" w:type="dxa"/>
            <w:shd w:val="clear" w:color="auto" w:fill="E2EFD9" w:themeFill="accent6" w:themeFillTint="33"/>
          </w:tcPr>
          <w:p w:rsidR="00F30AC4" w:rsidRPr="00974E4E" w:rsidRDefault="00F30AC4" w:rsidP="000C6241">
            <w:r w:rsidRPr="00974E4E">
              <w:t>Week 5</w:t>
            </w:r>
          </w:p>
        </w:tc>
        <w:tc>
          <w:tcPr>
            <w:tcW w:w="1559" w:type="dxa"/>
            <w:vMerge/>
            <w:shd w:val="clear" w:color="auto" w:fill="E2EFD9" w:themeFill="accent6" w:themeFillTint="33"/>
          </w:tcPr>
          <w:p w:rsidR="00F30AC4" w:rsidRPr="00974E4E" w:rsidRDefault="00F30AC4" w:rsidP="000C6241"/>
        </w:tc>
        <w:tc>
          <w:tcPr>
            <w:tcW w:w="4870" w:type="dxa"/>
            <w:vMerge/>
            <w:shd w:val="clear" w:color="auto" w:fill="E2EFD9" w:themeFill="accent6" w:themeFillTint="33"/>
          </w:tcPr>
          <w:p w:rsidR="00F30AC4" w:rsidRPr="00974E4E" w:rsidRDefault="00F30AC4" w:rsidP="000C6241"/>
        </w:tc>
      </w:tr>
      <w:tr w:rsidR="00F30AC4" w:rsidRPr="00974E4E" w:rsidTr="000C6241">
        <w:tc>
          <w:tcPr>
            <w:tcW w:w="2093" w:type="dxa"/>
            <w:shd w:val="clear" w:color="auto" w:fill="E2EFD9" w:themeFill="accent6" w:themeFillTint="33"/>
          </w:tcPr>
          <w:p w:rsidR="00F30AC4" w:rsidRPr="00974E4E" w:rsidRDefault="00F30AC4" w:rsidP="000C6241">
            <w:r w:rsidRPr="00974E4E">
              <w:t>Week 6</w:t>
            </w:r>
          </w:p>
        </w:tc>
        <w:tc>
          <w:tcPr>
            <w:tcW w:w="1559" w:type="dxa"/>
            <w:vMerge/>
            <w:shd w:val="clear" w:color="auto" w:fill="E2EFD9" w:themeFill="accent6" w:themeFillTint="33"/>
          </w:tcPr>
          <w:p w:rsidR="00F30AC4" w:rsidRPr="00974E4E" w:rsidRDefault="00F30AC4" w:rsidP="000C6241"/>
        </w:tc>
        <w:tc>
          <w:tcPr>
            <w:tcW w:w="4870" w:type="dxa"/>
            <w:vMerge/>
            <w:shd w:val="clear" w:color="auto" w:fill="E2EFD9" w:themeFill="accent6" w:themeFillTint="33"/>
          </w:tcPr>
          <w:p w:rsidR="00F30AC4" w:rsidRPr="00974E4E" w:rsidRDefault="00F30AC4" w:rsidP="000C6241"/>
        </w:tc>
      </w:tr>
      <w:tr w:rsidR="00F30AC4" w:rsidRPr="00974E4E" w:rsidTr="000C6241">
        <w:tc>
          <w:tcPr>
            <w:tcW w:w="2093" w:type="dxa"/>
            <w:shd w:val="clear" w:color="auto" w:fill="E2EFD9" w:themeFill="accent6" w:themeFillTint="33"/>
          </w:tcPr>
          <w:p w:rsidR="00F30AC4" w:rsidRPr="00974E4E" w:rsidRDefault="00F30AC4" w:rsidP="000C6241">
            <w:r w:rsidRPr="00974E4E">
              <w:t>Week 7</w:t>
            </w:r>
          </w:p>
        </w:tc>
        <w:tc>
          <w:tcPr>
            <w:tcW w:w="1559" w:type="dxa"/>
            <w:vMerge/>
            <w:shd w:val="clear" w:color="auto" w:fill="E2EFD9" w:themeFill="accent6" w:themeFillTint="33"/>
          </w:tcPr>
          <w:p w:rsidR="00F30AC4" w:rsidRPr="00974E4E" w:rsidRDefault="00F30AC4" w:rsidP="000C6241"/>
        </w:tc>
        <w:tc>
          <w:tcPr>
            <w:tcW w:w="4870" w:type="dxa"/>
            <w:shd w:val="clear" w:color="auto" w:fill="E2EFD9" w:themeFill="accent6" w:themeFillTint="33"/>
          </w:tcPr>
          <w:p w:rsidR="00F30AC4" w:rsidRPr="00974E4E" w:rsidRDefault="00F30AC4" w:rsidP="000C6241"/>
        </w:tc>
      </w:tr>
      <w:tr w:rsidR="00F30AC4" w:rsidRPr="00974E4E" w:rsidTr="000C6241">
        <w:tc>
          <w:tcPr>
            <w:tcW w:w="2093" w:type="dxa"/>
            <w:shd w:val="clear" w:color="auto" w:fill="E2EFD9" w:themeFill="accent6" w:themeFillTint="33"/>
          </w:tcPr>
          <w:p w:rsidR="00F30AC4" w:rsidRPr="00974E4E" w:rsidRDefault="00F30AC4" w:rsidP="000C6241">
            <w:r w:rsidRPr="00974E4E">
              <w:t>Week 8</w:t>
            </w:r>
          </w:p>
        </w:tc>
        <w:tc>
          <w:tcPr>
            <w:tcW w:w="1559" w:type="dxa"/>
            <w:vMerge/>
            <w:shd w:val="clear" w:color="auto" w:fill="E2EFD9" w:themeFill="accent6" w:themeFillTint="33"/>
          </w:tcPr>
          <w:p w:rsidR="00F30AC4" w:rsidRPr="00974E4E" w:rsidRDefault="00F30AC4" w:rsidP="000C6241"/>
        </w:tc>
        <w:tc>
          <w:tcPr>
            <w:tcW w:w="4870" w:type="dxa"/>
            <w:shd w:val="clear" w:color="auto" w:fill="E2EFD9" w:themeFill="accent6" w:themeFillTint="33"/>
          </w:tcPr>
          <w:p w:rsidR="00F30AC4" w:rsidRPr="00974E4E" w:rsidRDefault="00F30AC4" w:rsidP="000C6241"/>
        </w:tc>
      </w:tr>
      <w:tr w:rsidR="00F30AC4" w:rsidRPr="00974E4E" w:rsidTr="000C6241">
        <w:tc>
          <w:tcPr>
            <w:tcW w:w="2093" w:type="dxa"/>
            <w:shd w:val="clear" w:color="auto" w:fill="E2EFD9" w:themeFill="accent6" w:themeFillTint="33"/>
          </w:tcPr>
          <w:p w:rsidR="00F30AC4" w:rsidRPr="00974E4E" w:rsidRDefault="00F30AC4" w:rsidP="000C6241">
            <w:r w:rsidRPr="00974E4E">
              <w:t>Week 9</w:t>
            </w:r>
          </w:p>
        </w:tc>
        <w:tc>
          <w:tcPr>
            <w:tcW w:w="1559" w:type="dxa"/>
            <w:vMerge/>
            <w:shd w:val="clear" w:color="auto" w:fill="E2EFD9" w:themeFill="accent6" w:themeFillTint="33"/>
          </w:tcPr>
          <w:p w:rsidR="00F30AC4" w:rsidRPr="00974E4E" w:rsidRDefault="00F30AC4" w:rsidP="000C6241"/>
        </w:tc>
        <w:tc>
          <w:tcPr>
            <w:tcW w:w="4870" w:type="dxa"/>
            <w:shd w:val="clear" w:color="auto" w:fill="E2EFD9" w:themeFill="accent6" w:themeFillTint="33"/>
          </w:tcPr>
          <w:p w:rsidR="00F30AC4" w:rsidRPr="00974E4E" w:rsidRDefault="00F30AC4" w:rsidP="000C6241">
            <w:r w:rsidRPr="00974E4E">
              <w:t>Final week for OTP1</w:t>
            </w:r>
          </w:p>
        </w:tc>
      </w:tr>
      <w:tr w:rsidR="00F30AC4" w:rsidRPr="00974E4E" w:rsidTr="000C6241">
        <w:tc>
          <w:tcPr>
            <w:tcW w:w="2093" w:type="dxa"/>
            <w:shd w:val="clear" w:color="auto" w:fill="E2EFD9" w:themeFill="accent6" w:themeFillTint="33"/>
          </w:tcPr>
          <w:p w:rsidR="00F30AC4" w:rsidRPr="00974E4E" w:rsidRDefault="00F30AC4" w:rsidP="000C6241">
            <w:r w:rsidRPr="00974E4E">
              <w:t>Week 10</w:t>
            </w:r>
          </w:p>
        </w:tc>
        <w:tc>
          <w:tcPr>
            <w:tcW w:w="1559" w:type="dxa"/>
            <w:vMerge/>
            <w:shd w:val="clear" w:color="auto" w:fill="E2EFD9" w:themeFill="accent6" w:themeFillTint="33"/>
          </w:tcPr>
          <w:p w:rsidR="00F30AC4" w:rsidRPr="00974E4E" w:rsidRDefault="00F30AC4" w:rsidP="000C6241"/>
        </w:tc>
        <w:tc>
          <w:tcPr>
            <w:tcW w:w="4870" w:type="dxa"/>
            <w:shd w:val="clear" w:color="auto" w:fill="E2EFD9" w:themeFill="accent6" w:themeFillTint="33"/>
          </w:tcPr>
          <w:p w:rsidR="00F30AC4" w:rsidRPr="00974E4E" w:rsidRDefault="00F30AC4" w:rsidP="000C6241">
            <w:r w:rsidRPr="00974E4E">
              <w:t>Final week for OTP2</w:t>
            </w:r>
          </w:p>
        </w:tc>
      </w:tr>
      <w:tr w:rsidR="00F30AC4" w:rsidRPr="00974E4E" w:rsidTr="000C6241">
        <w:tc>
          <w:tcPr>
            <w:tcW w:w="2093" w:type="dxa"/>
            <w:shd w:val="clear" w:color="auto" w:fill="E2EFD9" w:themeFill="accent6" w:themeFillTint="33"/>
          </w:tcPr>
          <w:p w:rsidR="00F30AC4" w:rsidRPr="00974E4E" w:rsidRDefault="00F30AC4" w:rsidP="000C6241">
            <w:r w:rsidRPr="00974E4E">
              <w:t>Week 11</w:t>
            </w:r>
          </w:p>
        </w:tc>
        <w:tc>
          <w:tcPr>
            <w:tcW w:w="1559" w:type="dxa"/>
            <w:vMerge/>
            <w:shd w:val="clear" w:color="auto" w:fill="E2EFD9" w:themeFill="accent6" w:themeFillTint="33"/>
          </w:tcPr>
          <w:p w:rsidR="00F30AC4" w:rsidRPr="00974E4E" w:rsidRDefault="00F30AC4" w:rsidP="000C6241"/>
        </w:tc>
        <w:tc>
          <w:tcPr>
            <w:tcW w:w="4870" w:type="dxa"/>
            <w:shd w:val="clear" w:color="auto" w:fill="E2EFD9" w:themeFill="accent6" w:themeFillTint="33"/>
          </w:tcPr>
          <w:p w:rsidR="00F30AC4" w:rsidRPr="00974E4E" w:rsidRDefault="00F30AC4" w:rsidP="000C6241">
            <w:r w:rsidRPr="00974E4E">
              <w:t>Final week for OTP3</w:t>
            </w:r>
          </w:p>
        </w:tc>
      </w:tr>
      <w:tr w:rsidR="00F30AC4" w:rsidRPr="00974E4E" w:rsidTr="000C6241">
        <w:tc>
          <w:tcPr>
            <w:tcW w:w="2093" w:type="dxa"/>
            <w:shd w:val="clear" w:color="auto" w:fill="A8D08D" w:themeFill="accent6" w:themeFillTint="99"/>
          </w:tcPr>
          <w:p w:rsidR="00F30AC4" w:rsidRPr="00974E4E" w:rsidRDefault="00F30AC4" w:rsidP="000C6241">
            <w:r w:rsidRPr="00974E4E">
              <w:t>Placement de-brief week</w:t>
            </w:r>
          </w:p>
        </w:tc>
        <w:tc>
          <w:tcPr>
            <w:tcW w:w="1559" w:type="dxa"/>
            <w:shd w:val="clear" w:color="auto" w:fill="A8D08D" w:themeFill="accent6" w:themeFillTint="99"/>
          </w:tcPr>
          <w:p w:rsidR="00F30AC4" w:rsidRPr="00974E4E" w:rsidRDefault="00F30AC4" w:rsidP="000C6241">
            <w:r w:rsidRPr="00974E4E">
              <w:t>UWE</w:t>
            </w:r>
          </w:p>
        </w:tc>
        <w:tc>
          <w:tcPr>
            <w:tcW w:w="4870" w:type="dxa"/>
            <w:shd w:val="clear" w:color="auto" w:fill="A8D08D" w:themeFill="accent6" w:themeFillTint="99"/>
          </w:tcPr>
          <w:p w:rsidR="00F30AC4" w:rsidRPr="00974E4E" w:rsidRDefault="00F30AC4" w:rsidP="000C6241">
            <w:r w:rsidRPr="00974E4E">
              <w:t>Students submit placement documentation, including signed off learning contract, placement hours and front sheet on agreed submission date.</w:t>
            </w:r>
          </w:p>
        </w:tc>
      </w:tr>
    </w:tbl>
    <w:p w:rsidR="00546C78" w:rsidRPr="005D6887" w:rsidRDefault="00F30AC4">
      <w:pPr>
        <w:rPr>
          <w:b/>
        </w:rPr>
      </w:pPr>
      <w:r w:rsidRPr="00E36785">
        <w:rPr>
          <w:b/>
        </w:rPr>
        <w:t>Table 1: Weekly chronology of student/UWE tutor interaction during placement</w:t>
      </w:r>
      <w:bookmarkStart w:id="5" w:name="_GoBack"/>
      <w:bookmarkEnd w:id="5"/>
    </w:p>
    <w:sectPr w:rsidR="00546C78" w:rsidRPr="005D688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C4" w:rsidRDefault="00F30AC4" w:rsidP="00F30AC4">
      <w:pPr>
        <w:spacing w:line="240" w:lineRule="auto"/>
      </w:pPr>
      <w:r>
        <w:separator/>
      </w:r>
    </w:p>
  </w:endnote>
  <w:endnote w:type="continuationSeparator" w:id="0">
    <w:p w:rsidR="00F30AC4" w:rsidRDefault="00F30AC4" w:rsidP="00F30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980019"/>
      <w:docPartObj>
        <w:docPartGallery w:val="Page Numbers (Bottom of Page)"/>
        <w:docPartUnique/>
      </w:docPartObj>
    </w:sdtPr>
    <w:sdtEndPr>
      <w:rPr>
        <w:noProof/>
      </w:rPr>
    </w:sdtEndPr>
    <w:sdtContent>
      <w:p w:rsidR="00F30AC4" w:rsidRDefault="00F30AC4">
        <w:pPr>
          <w:pStyle w:val="Footer"/>
          <w:jc w:val="right"/>
        </w:pPr>
        <w:r>
          <w:fldChar w:fldCharType="begin"/>
        </w:r>
        <w:r>
          <w:instrText xml:space="preserve"> PAGE   \* MERGEFORMAT </w:instrText>
        </w:r>
        <w:r>
          <w:fldChar w:fldCharType="separate"/>
        </w:r>
        <w:r w:rsidR="005D6887">
          <w:rPr>
            <w:noProof/>
          </w:rPr>
          <w:t>5</w:t>
        </w:r>
        <w:r>
          <w:rPr>
            <w:noProof/>
          </w:rPr>
          <w:fldChar w:fldCharType="end"/>
        </w:r>
      </w:p>
    </w:sdtContent>
  </w:sdt>
  <w:p w:rsidR="00F30AC4" w:rsidRDefault="00F30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C4" w:rsidRDefault="00F30AC4" w:rsidP="00F30AC4">
      <w:pPr>
        <w:spacing w:line="240" w:lineRule="auto"/>
      </w:pPr>
      <w:r>
        <w:separator/>
      </w:r>
    </w:p>
  </w:footnote>
  <w:footnote w:type="continuationSeparator" w:id="0">
    <w:p w:rsidR="00F30AC4" w:rsidRDefault="00F30AC4" w:rsidP="00F30A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C4" w:rsidRDefault="00F30AC4">
    <w:pPr>
      <w:pStyle w:val="Header"/>
      <w:rPr>
        <w:b/>
        <w:szCs w:val="24"/>
      </w:rPr>
    </w:pPr>
    <w:r>
      <w:rPr>
        <w:noProof/>
        <w:lang w:val="en-GB" w:eastAsia="en-GB"/>
      </w:rPr>
      <w:drawing>
        <wp:inline distT="0" distB="0" distL="0" distR="0" wp14:anchorId="18D959AB" wp14:editId="6551C12C">
          <wp:extent cx="1274272" cy="637418"/>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788" cy="645680"/>
                  </a:xfrm>
                  <a:prstGeom prst="rect">
                    <a:avLst/>
                  </a:prstGeom>
                </pic:spPr>
              </pic:pic>
            </a:graphicData>
          </a:graphic>
        </wp:inline>
      </w:drawing>
    </w:r>
    <w:r>
      <w:rPr>
        <w:b/>
        <w:szCs w:val="24"/>
      </w:rPr>
      <w:tab/>
      <w:t xml:space="preserve">       </w:t>
    </w:r>
    <w:r w:rsidRPr="002C7B69">
      <w:rPr>
        <w:b/>
        <w:szCs w:val="24"/>
      </w:rPr>
      <w:t>BSc Hons Occupational Therapy Practice Portfolio</w:t>
    </w:r>
    <w:r>
      <w:rPr>
        <w:b/>
        <w:szCs w:val="24"/>
      </w:rPr>
      <w:t xml:space="preserve"> </w:t>
    </w:r>
  </w:p>
  <w:p w:rsidR="00F30AC4" w:rsidRDefault="00F30AC4">
    <w:pPr>
      <w:pStyle w:val="Header"/>
    </w:pPr>
    <w:r>
      <w:rPr>
        <w:b/>
        <w:szCs w:val="24"/>
      </w:rPr>
      <w:t xml:space="preserve">       </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4282D"/>
    <w:multiLevelType w:val="hybridMultilevel"/>
    <w:tmpl w:val="FBE8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74F0E"/>
    <w:multiLevelType w:val="hybridMultilevel"/>
    <w:tmpl w:val="2672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4"/>
    <w:rsid w:val="00546C78"/>
    <w:rsid w:val="005D6887"/>
    <w:rsid w:val="00F30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3B0F"/>
  <w15:chartTrackingRefBased/>
  <w15:docId w15:val="{45D2AE33-1E6C-4A1D-BA63-A861E91A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AC4"/>
    <w:pPr>
      <w:spacing w:after="0" w:line="360" w:lineRule="auto"/>
    </w:pPr>
    <w:rPr>
      <w:rFonts w:ascii="Tahoma" w:hAnsi="Tahoma" w:cs="Arial"/>
      <w:sz w:val="24"/>
      <w:szCs w:val="20"/>
      <w:lang w:val="en-US"/>
    </w:rPr>
  </w:style>
  <w:style w:type="paragraph" w:styleId="Heading2">
    <w:name w:val="heading 2"/>
    <w:basedOn w:val="Normal"/>
    <w:next w:val="Normal"/>
    <w:link w:val="Heading2Char"/>
    <w:unhideWhenUsed/>
    <w:qFormat/>
    <w:rsid w:val="00F30AC4"/>
    <w:pPr>
      <w:keepNext/>
      <w:keepLines/>
      <w:spacing w:before="40"/>
      <w:outlineLvl w:val="1"/>
    </w:pPr>
    <w:rPr>
      <w:rFonts w:eastAsiaTheme="majorEastAsia" w:cstheme="majorBidi"/>
      <w:b/>
      <w:color w:val="385623" w:themeColor="accent6" w:themeShade="80"/>
      <w:sz w:val="28"/>
      <w:szCs w:val="26"/>
    </w:rPr>
  </w:style>
  <w:style w:type="paragraph" w:styleId="Heading3">
    <w:name w:val="heading 3"/>
    <w:basedOn w:val="Normal"/>
    <w:next w:val="Normal"/>
    <w:link w:val="Heading3Char"/>
    <w:unhideWhenUsed/>
    <w:qFormat/>
    <w:rsid w:val="00F30AC4"/>
    <w:pPr>
      <w:keepNext/>
      <w:keepLines/>
      <w:spacing w:before="40"/>
      <w:outlineLvl w:val="2"/>
    </w:pPr>
    <w:rPr>
      <w:rFonts w:asciiTheme="majorHAnsi" w:eastAsiaTheme="majorEastAsia" w:hAnsiTheme="majorHAnsi" w:cstheme="majorBidi"/>
      <w:color w:val="385623" w:themeColor="accent6" w:themeShade="80"/>
      <w:sz w:val="28"/>
      <w:szCs w:val="24"/>
    </w:rPr>
  </w:style>
  <w:style w:type="paragraph" w:styleId="Heading4">
    <w:name w:val="heading 4"/>
    <w:basedOn w:val="Normal"/>
    <w:next w:val="Normal"/>
    <w:link w:val="Heading4Char"/>
    <w:unhideWhenUsed/>
    <w:qFormat/>
    <w:rsid w:val="00F30AC4"/>
    <w:pPr>
      <w:keepNext/>
      <w:keepLines/>
      <w:spacing w:before="40"/>
      <w:outlineLvl w:val="3"/>
    </w:pPr>
    <w:rPr>
      <w:rFonts w:asciiTheme="majorHAnsi" w:eastAsiaTheme="majorEastAsia" w:hAnsiTheme="majorHAnsi" w:cstheme="majorBidi"/>
      <w:i/>
      <w:iC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0AC4"/>
    <w:rPr>
      <w:rFonts w:ascii="Tahoma" w:eastAsiaTheme="majorEastAsia" w:hAnsi="Tahoma" w:cstheme="majorBidi"/>
      <w:b/>
      <w:color w:val="385623" w:themeColor="accent6" w:themeShade="80"/>
      <w:sz w:val="28"/>
      <w:szCs w:val="26"/>
      <w:lang w:val="en-US"/>
    </w:rPr>
  </w:style>
  <w:style w:type="character" w:customStyle="1" w:styleId="Heading3Char">
    <w:name w:val="Heading 3 Char"/>
    <w:basedOn w:val="DefaultParagraphFont"/>
    <w:link w:val="Heading3"/>
    <w:rsid w:val="00F30AC4"/>
    <w:rPr>
      <w:rFonts w:asciiTheme="majorHAnsi" w:eastAsiaTheme="majorEastAsia" w:hAnsiTheme="majorHAnsi" w:cstheme="majorBidi"/>
      <w:color w:val="385623" w:themeColor="accent6" w:themeShade="80"/>
      <w:sz w:val="28"/>
      <w:szCs w:val="24"/>
      <w:lang w:val="en-US"/>
    </w:rPr>
  </w:style>
  <w:style w:type="character" w:customStyle="1" w:styleId="Heading4Char">
    <w:name w:val="Heading 4 Char"/>
    <w:basedOn w:val="DefaultParagraphFont"/>
    <w:link w:val="Heading4"/>
    <w:rsid w:val="00F30AC4"/>
    <w:rPr>
      <w:rFonts w:asciiTheme="majorHAnsi" w:eastAsiaTheme="majorEastAsia" w:hAnsiTheme="majorHAnsi" w:cstheme="majorBidi"/>
      <w:i/>
      <w:iCs/>
      <w:color w:val="385623" w:themeColor="accent6" w:themeShade="80"/>
      <w:sz w:val="24"/>
      <w:szCs w:val="20"/>
      <w:lang w:val="en-US"/>
    </w:rPr>
  </w:style>
  <w:style w:type="character" w:styleId="Hyperlink">
    <w:name w:val="Hyperlink"/>
    <w:basedOn w:val="DefaultParagraphFont"/>
    <w:uiPriority w:val="99"/>
    <w:rsid w:val="00F30AC4"/>
    <w:rPr>
      <w:color w:val="0000FF"/>
      <w:u w:val="single"/>
    </w:rPr>
  </w:style>
  <w:style w:type="paragraph" w:styleId="ListParagraph">
    <w:name w:val="List Paragraph"/>
    <w:basedOn w:val="Normal"/>
    <w:uiPriority w:val="34"/>
    <w:qFormat/>
    <w:rsid w:val="00F30AC4"/>
    <w:pPr>
      <w:ind w:left="720"/>
      <w:contextualSpacing/>
      <w:jc w:val="both"/>
    </w:pPr>
    <w:rPr>
      <w:rFonts w:eastAsia="Times New Roman" w:cs="Times New Roman"/>
      <w:szCs w:val="24"/>
      <w:lang w:val="en-GB" w:eastAsia="en-GB"/>
    </w:rPr>
  </w:style>
  <w:style w:type="paragraph" w:styleId="Header">
    <w:name w:val="header"/>
    <w:basedOn w:val="Normal"/>
    <w:link w:val="HeaderChar"/>
    <w:uiPriority w:val="99"/>
    <w:unhideWhenUsed/>
    <w:rsid w:val="00F30AC4"/>
    <w:pPr>
      <w:tabs>
        <w:tab w:val="center" w:pos="4513"/>
        <w:tab w:val="right" w:pos="9026"/>
      </w:tabs>
      <w:spacing w:line="240" w:lineRule="auto"/>
    </w:pPr>
  </w:style>
  <w:style w:type="character" w:customStyle="1" w:styleId="HeaderChar">
    <w:name w:val="Header Char"/>
    <w:basedOn w:val="DefaultParagraphFont"/>
    <w:link w:val="Header"/>
    <w:uiPriority w:val="99"/>
    <w:rsid w:val="00F30AC4"/>
    <w:rPr>
      <w:rFonts w:ascii="Tahoma" w:hAnsi="Tahoma" w:cs="Arial"/>
      <w:sz w:val="24"/>
      <w:szCs w:val="20"/>
      <w:lang w:val="en-US"/>
    </w:rPr>
  </w:style>
  <w:style w:type="paragraph" w:styleId="Footer">
    <w:name w:val="footer"/>
    <w:basedOn w:val="Normal"/>
    <w:link w:val="FooterChar"/>
    <w:uiPriority w:val="99"/>
    <w:unhideWhenUsed/>
    <w:rsid w:val="00F30AC4"/>
    <w:pPr>
      <w:tabs>
        <w:tab w:val="center" w:pos="4513"/>
        <w:tab w:val="right" w:pos="9026"/>
      </w:tabs>
      <w:spacing w:line="240" w:lineRule="auto"/>
    </w:pPr>
  </w:style>
  <w:style w:type="character" w:customStyle="1" w:styleId="FooterChar">
    <w:name w:val="Footer Char"/>
    <w:basedOn w:val="DefaultParagraphFont"/>
    <w:link w:val="Footer"/>
    <w:uiPriority w:val="99"/>
    <w:rsid w:val="00F30AC4"/>
    <w:rPr>
      <w:rFonts w:ascii="Tahoma" w:hAnsi="Tahoma" w:cs="Arial"/>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int@uwe.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uwe.ac.uk/students/practicesupportnet.aspx"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1.uwe.ac.uk/about/corporateinformation/equalityanddiversity/hateincidentreporting.aspx" TargetMode="External"/><Relationship Id="rId4" Type="http://schemas.openxmlformats.org/officeDocument/2006/relationships/webSettings" Target="webSettings.xml"/><Relationship Id="rId9" Type="http://schemas.openxmlformats.org/officeDocument/2006/relationships/hyperlink" Target="mailto:wellbeing@uwe.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9ACB10B4D3045B1DDCE83F66D9CBB" ma:contentTypeVersion="1" ma:contentTypeDescription="Create a new document." ma:contentTypeScope="" ma:versionID="2ff89124c9af6d3676dc4009bdaf131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532AE8-2877-499D-B0AF-A9F364125C42}"/>
</file>

<file path=customXml/itemProps2.xml><?xml version="1.0" encoding="utf-8"?>
<ds:datastoreItem xmlns:ds="http://schemas.openxmlformats.org/officeDocument/2006/customXml" ds:itemID="{688ECFF3-3CAA-4969-B208-32CFBDDD6F2D}"/>
</file>

<file path=customXml/itemProps3.xml><?xml version="1.0" encoding="utf-8"?>
<ds:datastoreItem xmlns:ds="http://schemas.openxmlformats.org/officeDocument/2006/customXml" ds:itemID="{17B2AF4E-D382-40D9-83E7-786BC07AC1D8}"/>
</file>

<file path=docProps/app.xml><?xml version="1.0" encoding="utf-8"?>
<Properties xmlns="http://schemas.openxmlformats.org/officeDocument/2006/extended-properties" xmlns:vt="http://schemas.openxmlformats.org/officeDocument/2006/docPropsVTypes">
  <Template>Normal</Template>
  <TotalTime>3</TotalTime>
  <Pages>5</Pages>
  <Words>1074</Words>
  <Characters>6123</Characters>
  <Application>Microsoft Office Word</Application>
  <DocSecurity>0</DocSecurity>
  <Lines>51</Lines>
  <Paragraphs>14</Paragraphs>
  <ScaleCrop>false</ScaleCrop>
  <Company>University of the West of England</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Parmenter</dc:creator>
  <cp:keywords/>
  <dc:description/>
  <cp:lastModifiedBy>Vanessa Parmenter</cp:lastModifiedBy>
  <cp:revision>2</cp:revision>
  <dcterms:created xsi:type="dcterms:W3CDTF">2017-04-25T12:35:00Z</dcterms:created>
  <dcterms:modified xsi:type="dcterms:W3CDTF">2017-04-25T12:38:00Z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0x010100B719ACB10B4D3045B1DDCE83F66D9CBB</vt:lpwstr>
  </property>
</Properties>
</file>