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A0" w:rsidRPr="00653EA0" w:rsidRDefault="00653EA0" w:rsidP="00653EA0">
      <w:pPr>
        <w:shd w:val="clear" w:color="auto" w:fill="FFFFFF"/>
        <w:spacing w:before="150" w:after="300" w:line="225" w:lineRule="atLeast"/>
        <w:rPr>
          <w:rFonts w:eastAsia="Times New Roman"/>
          <w:b/>
          <w:color w:val="000000"/>
          <w:u w:val="single"/>
          <w:lang w:eastAsia="en-GB"/>
        </w:rPr>
      </w:pPr>
      <w:bookmarkStart w:id="0" w:name="_GoBack"/>
      <w:bookmarkEnd w:id="0"/>
      <w:r w:rsidRPr="00653EA0">
        <w:rPr>
          <w:rFonts w:eastAsia="Times New Roman"/>
          <w:b/>
          <w:color w:val="000000"/>
          <w:u w:val="single"/>
          <w:lang w:eastAsia="en-GB"/>
        </w:rPr>
        <w:t xml:space="preserve">Adult Nursing </w:t>
      </w:r>
      <w:r w:rsidR="00B60ECE">
        <w:rPr>
          <w:rFonts w:eastAsia="Times New Roman"/>
          <w:b/>
          <w:color w:val="000000"/>
          <w:u w:val="single"/>
          <w:lang w:eastAsia="en-GB"/>
        </w:rPr>
        <w:t xml:space="preserve">Programme </w:t>
      </w:r>
      <w:r w:rsidRPr="00653EA0">
        <w:rPr>
          <w:rFonts w:eastAsia="Times New Roman"/>
          <w:b/>
          <w:color w:val="000000"/>
          <w:u w:val="single"/>
          <w:lang w:eastAsia="en-GB"/>
        </w:rPr>
        <w:t>Overview</w:t>
      </w:r>
    </w:p>
    <w:p w:rsidR="00653EA0" w:rsidRPr="00653EA0" w:rsidRDefault="00AA0903" w:rsidP="00653EA0">
      <w:pPr>
        <w:shd w:val="clear" w:color="auto" w:fill="FFFFFF"/>
        <w:spacing w:before="150" w:after="300"/>
        <w:rPr>
          <w:rFonts w:eastAsia="Times New Roman"/>
          <w:color w:val="000000"/>
          <w:lang w:eastAsia="en-GB"/>
        </w:rPr>
      </w:pPr>
      <w:r w:rsidRPr="00AA0903">
        <w:rPr>
          <w:rFonts w:eastAsia="Times New Roman"/>
          <w:color w:val="000000"/>
          <w:lang w:eastAsia="en-GB"/>
        </w:rPr>
        <w:t>All nurses should be caring, compassionate and competent</w:t>
      </w:r>
      <w:r>
        <w:rPr>
          <w:rFonts w:eastAsia="Times New Roman"/>
          <w:color w:val="000000"/>
          <w:lang w:eastAsia="en-GB"/>
        </w:rPr>
        <w:t xml:space="preserve"> and the</w:t>
      </w:r>
      <w:r w:rsidRPr="00AA0903">
        <w:rPr>
          <w:rFonts w:eastAsia="Times New Roman"/>
          <w:color w:val="000000"/>
          <w:lang w:eastAsia="en-GB"/>
        </w:rPr>
        <w:t xml:space="preserve"> </w:t>
      </w:r>
      <w:r w:rsidRPr="00653EA0">
        <w:rPr>
          <w:rFonts w:eastAsia="Times New Roman"/>
          <w:color w:val="000000"/>
          <w:lang w:eastAsia="en-GB"/>
        </w:rPr>
        <w:t>Adult Nursing programme</w:t>
      </w:r>
      <w:r>
        <w:rPr>
          <w:rFonts w:eastAsia="Times New Roman"/>
          <w:color w:val="000000"/>
          <w:lang w:eastAsia="en-GB"/>
        </w:rPr>
        <w:t xml:space="preserve"> </w:t>
      </w:r>
      <w:r w:rsidRPr="00AA0903">
        <w:rPr>
          <w:rFonts w:eastAsia="Times New Roman"/>
          <w:color w:val="000000"/>
          <w:lang w:eastAsia="en-GB"/>
        </w:rPr>
        <w:t>aims to equip the future workforce with nurses that are able to meet the demands of the modernised health care service.</w:t>
      </w:r>
      <w:r>
        <w:rPr>
          <w:rFonts w:eastAsia="Times New Roman"/>
          <w:color w:val="000000"/>
          <w:lang w:eastAsia="en-GB"/>
        </w:rPr>
        <w:t xml:space="preserve">  </w:t>
      </w:r>
      <w:r w:rsidR="00653EA0" w:rsidRPr="00653EA0">
        <w:rPr>
          <w:rFonts w:eastAsia="Times New Roman"/>
          <w:color w:val="000000"/>
          <w:lang w:eastAsia="en-GB"/>
        </w:rPr>
        <w:t xml:space="preserve">The role of the nurse is evolving in response to changes in ways healthcare is delivered, and in response to demographic and social trends: the ageing population has increased therefore the need for continuing care services for older people is growing; surgical day cases have increased markedly; and the development of care in the community is on-going. </w:t>
      </w:r>
      <w:r>
        <w:rPr>
          <w:rFonts w:eastAsia="Times New Roman"/>
          <w:color w:val="000000"/>
          <w:lang w:eastAsia="en-GB"/>
        </w:rPr>
        <w:t xml:space="preserve"> </w:t>
      </w:r>
      <w:r w:rsidR="00653EA0" w:rsidRPr="00653EA0">
        <w:rPr>
          <w:rFonts w:eastAsia="Times New Roman"/>
          <w:color w:val="000000"/>
          <w:lang w:eastAsia="en-GB"/>
        </w:rPr>
        <w:t>These changes are reflected in the Adult Nursing programme, which provides students with experiences in both community and hospital settings, working closely with other health care professionals.</w:t>
      </w:r>
      <w:r w:rsidRPr="00AA0903">
        <w:t xml:space="preserve"> </w:t>
      </w:r>
    </w:p>
    <w:p w:rsidR="00653EA0" w:rsidRDefault="00653EA0" w:rsidP="00653EA0">
      <w:pPr>
        <w:shd w:val="clear" w:color="auto" w:fill="FFFFFF"/>
        <w:spacing w:before="150" w:after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Central to the core subjects of nursing theory and practice are supporting studies in biology, psychology, sociology, interpersonal skills and information technology, all applied to health care in a professional setting. There is a strong emphasis on the development of inter</w:t>
      </w:r>
      <w:r>
        <w:rPr>
          <w:rFonts w:eastAsia="Times New Roman"/>
          <w:color w:val="000000"/>
          <w:lang w:eastAsia="en-GB"/>
        </w:rPr>
        <w:t>-</w:t>
      </w:r>
      <w:r w:rsidRPr="00653EA0">
        <w:rPr>
          <w:rFonts w:eastAsia="Times New Roman"/>
          <w:color w:val="000000"/>
          <w:lang w:eastAsia="en-GB"/>
        </w:rPr>
        <w:t xml:space="preserve">professional and interpersonal skills essential in establishing effective working relationships with service users, carers, families and healthcare professionals in a multidisciplinary setting. </w:t>
      </w:r>
      <w:r w:rsidR="00B60ECE">
        <w:rPr>
          <w:rFonts w:eastAsia="Times New Roman"/>
          <w:color w:val="000000"/>
          <w:lang w:eastAsia="en-GB"/>
        </w:rPr>
        <w:t xml:space="preserve"> </w:t>
      </w:r>
      <w:r w:rsidRPr="00653EA0">
        <w:rPr>
          <w:rFonts w:eastAsia="Times New Roman"/>
          <w:color w:val="000000"/>
          <w:lang w:eastAsia="en-GB"/>
        </w:rPr>
        <w:t>Throughout the course, research appreciation skills are developed in support of good practice.</w:t>
      </w:r>
      <w:r>
        <w:rPr>
          <w:rFonts w:eastAsia="Times New Roman"/>
          <w:color w:val="000000"/>
          <w:lang w:eastAsia="en-GB"/>
        </w:rPr>
        <w:t xml:space="preserve">  </w:t>
      </w:r>
    </w:p>
    <w:p w:rsidR="00653EA0" w:rsidRPr="00653EA0" w:rsidRDefault="00653EA0" w:rsidP="00653EA0">
      <w:pPr>
        <w:shd w:val="clear" w:color="auto" w:fill="FFFFFF"/>
        <w:spacing w:before="150" w:after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Study themes running through the course include:</w:t>
      </w:r>
    </w:p>
    <w:p w:rsidR="00653EA0" w:rsidRPr="00653EA0" w:rsidRDefault="00653EA0" w:rsidP="00653EA0">
      <w:pPr>
        <w:numPr>
          <w:ilvl w:val="0"/>
          <w:numId w:val="4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Nursing theory and practice</w:t>
      </w:r>
    </w:p>
    <w:p w:rsidR="00653EA0" w:rsidRPr="00653EA0" w:rsidRDefault="00653EA0" w:rsidP="00653EA0">
      <w:pPr>
        <w:numPr>
          <w:ilvl w:val="0"/>
          <w:numId w:val="4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Nursing management</w:t>
      </w:r>
    </w:p>
    <w:p w:rsidR="00653EA0" w:rsidRDefault="00653EA0" w:rsidP="00653EA0">
      <w:pPr>
        <w:numPr>
          <w:ilvl w:val="0"/>
          <w:numId w:val="4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Assessment and clinical reasoning</w:t>
      </w:r>
    </w:p>
    <w:p w:rsidR="00653EA0" w:rsidRPr="00653EA0" w:rsidRDefault="00653EA0" w:rsidP="00653EA0">
      <w:pPr>
        <w:numPr>
          <w:ilvl w:val="0"/>
          <w:numId w:val="4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Interpersonal skills</w:t>
      </w:r>
    </w:p>
    <w:p w:rsidR="00653EA0" w:rsidRPr="00653EA0" w:rsidRDefault="00653EA0" w:rsidP="00653EA0">
      <w:pPr>
        <w:numPr>
          <w:ilvl w:val="0"/>
          <w:numId w:val="4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Development of professional practice</w:t>
      </w:r>
    </w:p>
    <w:p w:rsidR="00653EA0" w:rsidRPr="00653EA0" w:rsidRDefault="00653EA0" w:rsidP="00653EA0">
      <w:pPr>
        <w:numPr>
          <w:ilvl w:val="0"/>
          <w:numId w:val="4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Bio-psychosocial development of the individual across the lifespan</w:t>
      </w:r>
    </w:p>
    <w:p w:rsidR="00653EA0" w:rsidRPr="00653EA0" w:rsidRDefault="00653EA0" w:rsidP="00653EA0">
      <w:pPr>
        <w:numPr>
          <w:ilvl w:val="0"/>
          <w:numId w:val="4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Sociology of health, wellness and illness</w:t>
      </w:r>
    </w:p>
    <w:p w:rsidR="00653EA0" w:rsidRPr="00653EA0" w:rsidRDefault="00653EA0" w:rsidP="00653EA0">
      <w:pPr>
        <w:numPr>
          <w:ilvl w:val="0"/>
          <w:numId w:val="4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Health care systems</w:t>
      </w:r>
    </w:p>
    <w:p w:rsidR="00653EA0" w:rsidRPr="00653EA0" w:rsidRDefault="00653EA0" w:rsidP="00653EA0">
      <w:pPr>
        <w:numPr>
          <w:ilvl w:val="0"/>
          <w:numId w:val="4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Inter</w:t>
      </w:r>
      <w:r>
        <w:rPr>
          <w:rFonts w:eastAsia="Times New Roman"/>
          <w:color w:val="000000"/>
          <w:lang w:eastAsia="en-GB"/>
        </w:rPr>
        <w:t>-</w:t>
      </w:r>
      <w:r w:rsidRPr="00653EA0">
        <w:rPr>
          <w:rFonts w:eastAsia="Times New Roman"/>
          <w:color w:val="000000"/>
          <w:lang w:eastAsia="en-GB"/>
        </w:rPr>
        <w:t>professional working</w:t>
      </w:r>
    </w:p>
    <w:p w:rsidR="00653EA0" w:rsidRPr="00653EA0" w:rsidRDefault="00653EA0" w:rsidP="00653EA0">
      <w:pPr>
        <w:numPr>
          <w:ilvl w:val="0"/>
          <w:numId w:val="4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 xml:space="preserve">Research and evidence-based practice </w:t>
      </w:r>
    </w:p>
    <w:p w:rsidR="00653EA0" w:rsidRPr="00653EA0" w:rsidRDefault="00B60ECE" w:rsidP="00653EA0">
      <w:pPr>
        <w:shd w:val="clear" w:color="auto" w:fill="FFFFFF"/>
        <w:spacing w:before="150" w:after="300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All students have a named Academic Personal Tutor for the duration of their programme.  </w:t>
      </w:r>
      <w:r w:rsidR="00653EA0">
        <w:rPr>
          <w:rFonts w:eastAsia="Times New Roman"/>
          <w:color w:val="000000"/>
          <w:lang w:eastAsia="en-GB"/>
        </w:rPr>
        <w:t xml:space="preserve">The programme meets the NMC standards for Pre-registration Nursing Education (NMC 2010) and the EU requirements (Directive 2005/36/EC) which incorporates general and specialist medicine, general and specialist surgery, child care and paediatrics, maternity care, mental health and psychiatry, care of older people and </w:t>
      </w:r>
      <w:r>
        <w:rPr>
          <w:rFonts w:eastAsia="Times New Roman"/>
          <w:color w:val="000000"/>
          <w:lang w:eastAsia="en-GB"/>
        </w:rPr>
        <w:t>community</w:t>
      </w:r>
      <w:r w:rsidR="00653EA0">
        <w:rPr>
          <w:rFonts w:eastAsia="Times New Roman"/>
          <w:color w:val="000000"/>
          <w:lang w:eastAsia="en-GB"/>
        </w:rPr>
        <w:t xml:space="preserve"> nursing.</w:t>
      </w:r>
    </w:p>
    <w:p w:rsidR="00AA0903" w:rsidRDefault="00AA0903">
      <w:pPr>
        <w:rPr>
          <w:rFonts w:eastAsia="Times New Roman"/>
          <w:color w:val="000000"/>
          <w:lang w:eastAsia="en-GB"/>
        </w:rPr>
      </w:pPr>
    </w:p>
    <w:p w:rsidR="00653EA0" w:rsidRPr="00653EA0" w:rsidRDefault="00653EA0" w:rsidP="00653EA0">
      <w:pPr>
        <w:shd w:val="clear" w:color="auto" w:fill="FFFFFF"/>
        <w:spacing w:before="150" w:after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lastRenderedPageBreak/>
        <w:t xml:space="preserve">The following modules are indicative of the </w:t>
      </w:r>
      <w:r>
        <w:rPr>
          <w:rFonts w:eastAsia="Times New Roman"/>
          <w:color w:val="000000"/>
          <w:lang w:eastAsia="en-GB"/>
        </w:rPr>
        <w:t>programme</w:t>
      </w:r>
      <w:r w:rsidRPr="00653EA0">
        <w:rPr>
          <w:rFonts w:eastAsia="Times New Roman"/>
          <w:color w:val="000000"/>
          <w:lang w:eastAsia="en-GB"/>
        </w:rPr>
        <w:t xml:space="preserve"> structure:</w:t>
      </w:r>
    </w:p>
    <w:p w:rsidR="00653EA0" w:rsidRPr="00653EA0" w:rsidRDefault="00653EA0" w:rsidP="00653EA0">
      <w:pPr>
        <w:shd w:val="clear" w:color="auto" w:fill="FFFFFF"/>
        <w:spacing w:before="150" w:after="150"/>
        <w:outlineLvl w:val="2"/>
        <w:rPr>
          <w:rFonts w:eastAsia="Times New Roman"/>
          <w:b/>
          <w:u w:val="single"/>
          <w:lang w:eastAsia="en-GB"/>
        </w:rPr>
      </w:pPr>
      <w:r w:rsidRPr="00653EA0">
        <w:rPr>
          <w:rFonts w:eastAsia="Times New Roman"/>
          <w:b/>
          <w:u w:val="single"/>
          <w:lang w:eastAsia="en-GB"/>
        </w:rPr>
        <w:t>Year 1</w:t>
      </w:r>
    </w:p>
    <w:p w:rsidR="00653EA0" w:rsidRPr="00653EA0" w:rsidRDefault="00653EA0" w:rsidP="00653EA0">
      <w:pPr>
        <w:numPr>
          <w:ilvl w:val="0"/>
          <w:numId w:val="1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Communication in a Diverse World</w:t>
      </w:r>
    </w:p>
    <w:p w:rsidR="00653EA0" w:rsidRPr="00653EA0" w:rsidRDefault="00653EA0" w:rsidP="00653EA0">
      <w:pPr>
        <w:numPr>
          <w:ilvl w:val="0"/>
          <w:numId w:val="1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Appreciating Evidence for Practice</w:t>
      </w:r>
    </w:p>
    <w:p w:rsidR="00653EA0" w:rsidRPr="00653EA0" w:rsidRDefault="00653EA0" w:rsidP="00653EA0">
      <w:pPr>
        <w:numPr>
          <w:ilvl w:val="0"/>
          <w:numId w:val="1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Physiology and Pharmacology</w:t>
      </w:r>
    </w:p>
    <w:p w:rsidR="00AA0903" w:rsidRPr="00653EA0" w:rsidRDefault="00AA0903" w:rsidP="00AA0903">
      <w:pPr>
        <w:numPr>
          <w:ilvl w:val="0"/>
          <w:numId w:val="1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Understanding Adult Nursing</w:t>
      </w:r>
    </w:p>
    <w:p w:rsidR="00653EA0" w:rsidRDefault="00653EA0" w:rsidP="00653EA0">
      <w:pPr>
        <w:numPr>
          <w:ilvl w:val="0"/>
          <w:numId w:val="1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Participating in the Practice of Adult Nursing</w:t>
      </w:r>
      <w:r>
        <w:rPr>
          <w:rFonts w:eastAsia="Times New Roman"/>
          <w:color w:val="000000"/>
          <w:lang w:eastAsia="en-GB"/>
        </w:rPr>
        <w:t xml:space="preserve"> (incorporating 2 </w:t>
      </w:r>
      <w:r w:rsidR="00AA0903">
        <w:rPr>
          <w:rFonts w:eastAsia="Times New Roman"/>
          <w:color w:val="000000"/>
          <w:lang w:eastAsia="en-GB"/>
        </w:rPr>
        <w:t>clinical</w:t>
      </w:r>
      <w:r>
        <w:rPr>
          <w:rFonts w:eastAsia="Times New Roman"/>
          <w:color w:val="000000"/>
          <w:lang w:eastAsia="en-GB"/>
        </w:rPr>
        <w:t xml:space="preserve"> placements)</w:t>
      </w:r>
    </w:p>
    <w:p w:rsidR="00653EA0" w:rsidRPr="00653EA0" w:rsidRDefault="00653EA0" w:rsidP="00653EA0">
      <w:pPr>
        <w:shd w:val="clear" w:color="auto" w:fill="FFFFFF"/>
        <w:spacing w:before="150" w:after="150"/>
        <w:outlineLvl w:val="2"/>
        <w:rPr>
          <w:rFonts w:eastAsia="Times New Roman"/>
          <w:b/>
          <w:u w:val="single"/>
          <w:lang w:eastAsia="en-GB"/>
        </w:rPr>
      </w:pPr>
      <w:r w:rsidRPr="00653EA0">
        <w:rPr>
          <w:rFonts w:eastAsia="Times New Roman"/>
          <w:b/>
          <w:u w:val="single"/>
          <w:lang w:eastAsia="en-GB"/>
        </w:rPr>
        <w:t>Year 2</w:t>
      </w:r>
    </w:p>
    <w:p w:rsidR="00653EA0" w:rsidRPr="00653EA0" w:rsidRDefault="00653EA0" w:rsidP="00653EA0">
      <w:pPr>
        <w:numPr>
          <w:ilvl w:val="0"/>
          <w:numId w:val="2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Planning and Delivering Nursing Care</w:t>
      </w:r>
    </w:p>
    <w:p w:rsidR="00653EA0" w:rsidRPr="00653EA0" w:rsidRDefault="00653EA0" w:rsidP="00653EA0">
      <w:pPr>
        <w:numPr>
          <w:ilvl w:val="0"/>
          <w:numId w:val="2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Service Improvement – a collaborative approach</w:t>
      </w:r>
    </w:p>
    <w:p w:rsidR="00653EA0" w:rsidRPr="00653EA0" w:rsidRDefault="00653EA0" w:rsidP="00653EA0">
      <w:pPr>
        <w:numPr>
          <w:ilvl w:val="0"/>
          <w:numId w:val="2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Evidence Based Practice for Nursing and Midwifery</w:t>
      </w:r>
    </w:p>
    <w:p w:rsidR="00653EA0" w:rsidRPr="00653EA0" w:rsidRDefault="00653EA0" w:rsidP="00653EA0">
      <w:pPr>
        <w:numPr>
          <w:ilvl w:val="0"/>
          <w:numId w:val="2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Implementing the Practice of Adult Nursing</w:t>
      </w:r>
      <w:r w:rsidR="00AA0903">
        <w:rPr>
          <w:rFonts w:eastAsia="Times New Roman"/>
          <w:color w:val="000000"/>
          <w:lang w:eastAsia="en-GB"/>
        </w:rPr>
        <w:t xml:space="preserve"> (incorporating 3 clinical placements)</w:t>
      </w:r>
    </w:p>
    <w:p w:rsidR="00653EA0" w:rsidRPr="00653EA0" w:rsidRDefault="00653EA0" w:rsidP="00653EA0">
      <w:pPr>
        <w:shd w:val="clear" w:color="auto" w:fill="FFFFFF"/>
        <w:spacing w:before="150" w:after="150"/>
        <w:outlineLvl w:val="2"/>
        <w:rPr>
          <w:rFonts w:eastAsia="Times New Roman"/>
          <w:b/>
          <w:u w:val="single"/>
          <w:lang w:eastAsia="en-GB"/>
        </w:rPr>
      </w:pPr>
      <w:r w:rsidRPr="00653EA0">
        <w:rPr>
          <w:rFonts w:eastAsia="Times New Roman"/>
          <w:b/>
          <w:u w:val="single"/>
          <w:lang w:eastAsia="en-GB"/>
        </w:rPr>
        <w:t>Year 3</w:t>
      </w:r>
    </w:p>
    <w:p w:rsidR="00653EA0" w:rsidRPr="00653EA0" w:rsidRDefault="00653EA0" w:rsidP="00653EA0">
      <w:pPr>
        <w:numPr>
          <w:ilvl w:val="0"/>
          <w:numId w:val="3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Leadership in Adult Nursing</w:t>
      </w:r>
    </w:p>
    <w:p w:rsidR="00653EA0" w:rsidRPr="00653EA0" w:rsidRDefault="00653EA0" w:rsidP="00653EA0">
      <w:pPr>
        <w:numPr>
          <w:ilvl w:val="0"/>
          <w:numId w:val="3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Managing the Practice of Adult Nursing</w:t>
      </w:r>
      <w:r w:rsidR="00AA0903">
        <w:rPr>
          <w:rFonts w:eastAsia="Times New Roman"/>
          <w:color w:val="000000"/>
          <w:lang w:eastAsia="en-GB"/>
        </w:rPr>
        <w:t xml:space="preserve"> (incorporating 2 clinical placements)</w:t>
      </w:r>
    </w:p>
    <w:p w:rsidR="00653EA0" w:rsidRPr="00653EA0" w:rsidRDefault="00653EA0" w:rsidP="00653EA0">
      <w:pPr>
        <w:numPr>
          <w:ilvl w:val="0"/>
          <w:numId w:val="3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Nursing and Midwifery Dissertation</w:t>
      </w:r>
    </w:p>
    <w:p w:rsidR="00653EA0" w:rsidRPr="00653EA0" w:rsidRDefault="00653EA0" w:rsidP="00653EA0">
      <w:pPr>
        <w:numPr>
          <w:ilvl w:val="0"/>
          <w:numId w:val="3"/>
        </w:numPr>
        <w:shd w:val="clear" w:color="auto" w:fill="FFFFFF"/>
        <w:spacing w:after="0"/>
        <w:ind w:left="300"/>
        <w:rPr>
          <w:rFonts w:eastAsia="Times New Roman"/>
          <w:color w:val="000000"/>
          <w:lang w:eastAsia="en-GB"/>
        </w:rPr>
      </w:pPr>
      <w:r w:rsidRPr="00653EA0">
        <w:rPr>
          <w:rFonts w:eastAsia="Times New Roman"/>
          <w:color w:val="000000"/>
          <w:lang w:eastAsia="en-GB"/>
        </w:rPr>
        <w:t>Choice module e.g. End of Life Care, Nursing as a Global Activity</w:t>
      </w:r>
    </w:p>
    <w:p w:rsidR="00B60ECE" w:rsidRDefault="00B60ECE" w:rsidP="00B60ECE"/>
    <w:p w:rsidR="00B60ECE" w:rsidRPr="00B60ECE" w:rsidRDefault="00B60ECE" w:rsidP="00B60ECE">
      <w:pPr>
        <w:rPr>
          <w:b/>
        </w:rPr>
      </w:pPr>
      <w:r w:rsidRPr="00B60ECE">
        <w:rPr>
          <w:b/>
        </w:rPr>
        <w:t>Clinical Practice</w:t>
      </w:r>
    </w:p>
    <w:p w:rsidR="00B61A0B" w:rsidRDefault="0079737E" w:rsidP="00B60ECE">
      <w:r>
        <w:t xml:space="preserve">Students will attend a </w:t>
      </w:r>
      <w:r w:rsidR="00B60ECE">
        <w:t xml:space="preserve">Supervision of Learning Days </w:t>
      </w:r>
      <w:r>
        <w:t>(</w:t>
      </w:r>
      <w:r w:rsidR="00B60ECE">
        <w:t>SoLD</w:t>
      </w:r>
      <w:r>
        <w:t>)</w:t>
      </w:r>
      <w:r w:rsidR="00B60ECE">
        <w:t xml:space="preserve"> that occur</w:t>
      </w:r>
      <w:r>
        <w:t>s</w:t>
      </w:r>
      <w:r w:rsidR="00B60ECE">
        <w:t xml:space="preserve"> every 2 weeks through a student’s clinical placement. </w:t>
      </w:r>
      <w:r>
        <w:t xml:space="preserve"> </w:t>
      </w:r>
      <w:r w:rsidR="00B60ECE">
        <w:t>The day will include reflecti</w:t>
      </w:r>
      <w:r>
        <w:t>on on learning in practice and</w:t>
      </w:r>
      <w:r w:rsidR="00B60ECE">
        <w:t xml:space="preserve"> other identified activities.</w:t>
      </w:r>
      <w:r>
        <w:t xml:space="preserve"> </w:t>
      </w:r>
      <w:r w:rsidR="00B60ECE">
        <w:t xml:space="preserve"> It promote</w:t>
      </w:r>
      <w:r>
        <w:t>s</w:t>
      </w:r>
      <w:r w:rsidR="00B60ECE">
        <w:t xml:space="preserve"> further structure and organisation of linking practice to theory.</w:t>
      </w:r>
      <w:r>
        <w:t xml:space="preserve">  </w:t>
      </w:r>
      <w:r w:rsidR="00B60ECE">
        <w:t>The O</w:t>
      </w:r>
      <w:r>
        <w:t xml:space="preserve">n-going Achievement </w:t>
      </w:r>
      <w:r w:rsidR="00B60ECE">
        <w:t>R</w:t>
      </w:r>
      <w:r>
        <w:t>ecord</w:t>
      </w:r>
      <w:r w:rsidR="00B60ECE">
        <w:t xml:space="preserve"> </w:t>
      </w:r>
      <w:r>
        <w:t>is</w:t>
      </w:r>
      <w:r w:rsidR="00B60ECE">
        <w:t xml:space="preserve"> the clinical document </w:t>
      </w:r>
      <w:r>
        <w:t xml:space="preserve">which includes the </w:t>
      </w:r>
      <w:r w:rsidR="00B60ECE">
        <w:t>learning outcomes</w:t>
      </w:r>
      <w:r>
        <w:t xml:space="preserve"> and skills which need to be achieved throughout the programme.</w:t>
      </w:r>
    </w:p>
    <w:p w:rsidR="00CC4EA9" w:rsidRDefault="00CC4EA9" w:rsidP="00B60ECE">
      <w:pPr>
        <w:rPr>
          <w:b/>
        </w:rPr>
      </w:pPr>
      <w:r w:rsidRPr="00CC4EA9">
        <w:rPr>
          <w:b/>
        </w:rPr>
        <w:t>Practice Placements</w:t>
      </w:r>
    </w:p>
    <w:p w:rsidR="00B84A33" w:rsidRDefault="00374B88" w:rsidP="00B60ECE">
      <w:r>
        <w:t xml:space="preserve">The allocation of practice placements are mapped to ensure that all students meet EU requirements </w:t>
      </w:r>
      <w:r w:rsidR="00B954BC">
        <w:rPr>
          <w:rFonts w:eastAsia="Times New Roman"/>
          <w:color w:val="000000"/>
          <w:lang w:eastAsia="en-GB"/>
        </w:rPr>
        <w:t xml:space="preserve">(Directive 2005/36/EC) </w:t>
      </w:r>
      <w:r>
        <w:t>as set out by the NMC in the Standards for pre-r</w:t>
      </w:r>
      <w:r w:rsidR="000616A8">
        <w:t>egistration nursing education</w:t>
      </w:r>
      <w:r w:rsidR="00B84A33">
        <w:t>:</w:t>
      </w:r>
    </w:p>
    <w:p w:rsidR="00B84A33" w:rsidRPr="00CC4EA9" w:rsidRDefault="00B84A33" w:rsidP="00B84A33">
      <w:pPr>
        <w:numPr>
          <w:ilvl w:val="0"/>
          <w:numId w:val="5"/>
        </w:numPr>
        <w:spacing w:after="0" w:line="240" w:lineRule="auto"/>
        <w:rPr>
          <w:rFonts w:eastAsia="Calibri"/>
          <w:sz w:val="22"/>
          <w:szCs w:val="22"/>
        </w:rPr>
      </w:pPr>
      <w:r w:rsidRPr="00CC4EA9">
        <w:rPr>
          <w:rFonts w:eastAsia="Calibri"/>
          <w:sz w:val="22"/>
          <w:szCs w:val="22"/>
        </w:rPr>
        <w:t>General medicine (e.g</w:t>
      </w:r>
      <w:r w:rsidR="00B954BC" w:rsidRPr="00CC4EA9">
        <w:rPr>
          <w:rFonts w:eastAsia="Calibri"/>
          <w:sz w:val="22"/>
          <w:szCs w:val="22"/>
        </w:rPr>
        <w:t>. d</w:t>
      </w:r>
      <w:r w:rsidR="00B954BC">
        <w:rPr>
          <w:rFonts w:eastAsia="Calibri"/>
          <w:sz w:val="22"/>
          <w:szCs w:val="22"/>
        </w:rPr>
        <w:t xml:space="preserve">istrict </w:t>
      </w:r>
      <w:r w:rsidR="00B954BC" w:rsidRPr="00CC4EA9">
        <w:rPr>
          <w:rFonts w:eastAsia="Calibri"/>
          <w:sz w:val="22"/>
          <w:szCs w:val="22"/>
        </w:rPr>
        <w:t>n</w:t>
      </w:r>
      <w:r w:rsidR="00B954BC">
        <w:rPr>
          <w:rFonts w:eastAsia="Calibri"/>
          <w:sz w:val="22"/>
          <w:szCs w:val="22"/>
        </w:rPr>
        <w:t>ursing</w:t>
      </w:r>
      <w:r w:rsidR="00B954BC" w:rsidRPr="00CC4EA9">
        <w:rPr>
          <w:rFonts w:eastAsia="Calibri"/>
          <w:sz w:val="22"/>
          <w:szCs w:val="22"/>
        </w:rPr>
        <w:t xml:space="preserve"> team, walk in centres, general medical ward) </w:t>
      </w:r>
    </w:p>
    <w:p w:rsidR="00B84A33" w:rsidRPr="00CC4EA9" w:rsidRDefault="00B954BC" w:rsidP="00B84A33">
      <w:pPr>
        <w:numPr>
          <w:ilvl w:val="0"/>
          <w:numId w:val="5"/>
        </w:numPr>
        <w:spacing w:after="0" w:line="240" w:lineRule="auto"/>
        <w:rPr>
          <w:rFonts w:eastAsia="Calibri"/>
          <w:sz w:val="22"/>
          <w:szCs w:val="22"/>
        </w:rPr>
      </w:pPr>
      <w:r w:rsidRPr="00CC4EA9">
        <w:rPr>
          <w:rFonts w:eastAsia="Calibri"/>
          <w:sz w:val="22"/>
          <w:szCs w:val="22"/>
        </w:rPr>
        <w:t>specialist medicine (e.g. cardiac, respiratory or renal wards, e</w:t>
      </w:r>
      <w:r>
        <w:rPr>
          <w:rFonts w:eastAsia="Calibri"/>
          <w:sz w:val="22"/>
          <w:szCs w:val="22"/>
        </w:rPr>
        <w:t xml:space="preserve">mergency </w:t>
      </w:r>
      <w:r w:rsidRPr="00CC4EA9">
        <w:rPr>
          <w:rFonts w:eastAsia="Calibri"/>
          <w:sz w:val="22"/>
          <w:szCs w:val="22"/>
        </w:rPr>
        <w:t>d</w:t>
      </w:r>
      <w:r>
        <w:rPr>
          <w:rFonts w:eastAsia="Calibri"/>
          <w:sz w:val="22"/>
          <w:szCs w:val="22"/>
        </w:rPr>
        <w:t>epartment</w:t>
      </w:r>
      <w:r w:rsidRPr="00CC4EA9">
        <w:rPr>
          <w:rFonts w:eastAsia="Calibri"/>
          <w:sz w:val="22"/>
          <w:szCs w:val="22"/>
        </w:rPr>
        <w:t>)</w:t>
      </w:r>
    </w:p>
    <w:p w:rsidR="00B84A33" w:rsidRPr="00CC4EA9" w:rsidRDefault="00B954BC" w:rsidP="00B84A33">
      <w:pPr>
        <w:numPr>
          <w:ilvl w:val="0"/>
          <w:numId w:val="5"/>
        </w:numPr>
        <w:spacing w:after="0" w:line="240" w:lineRule="auto"/>
        <w:rPr>
          <w:rFonts w:eastAsia="Calibri"/>
          <w:sz w:val="22"/>
          <w:szCs w:val="22"/>
        </w:rPr>
      </w:pPr>
      <w:r w:rsidRPr="00CC4EA9">
        <w:rPr>
          <w:rFonts w:eastAsia="Calibri"/>
          <w:sz w:val="22"/>
          <w:szCs w:val="22"/>
        </w:rPr>
        <w:t>general surgical (e.g. general surgical wards)</w:t>
      </w:r>
    </w:p>
    <w:p w:rsidR="00B84A33" w:rsidRPr="00CC4EA9" w:rsidRDefault="00B954BC" w:rsidP="00B84A33">
      <w:pPr>
        <w:numPr>
          <w:ilvl w:val="0"/>
          <w:numId w:val="5"/>
        </w:numPr>
        <w:spacing w:after="0" w:line="240" w:lineRule="auto"/>
        <w:rPr>
          <w:rFonts w:eastAsia="Calibri"/>
          <w:sz w:val="22"/>
          <w:szCs w:val="22"/>
        </w:rPr>
      </w:pPr>
      <w:r w:rsidRPr="00CC4EA9">
        <w:rPr>
          <w:rFonts w:eastAsia="Calibri"/>
          <w:sz w:val="22"/>
          <w:szCs w:val="22"/>
        </w:rPr>
        <w:t xml:space="preserve">specialist surgical (e.g. gastro, orthopaedic, head and neck surgical wards, </w:t>
      </w:r>
      <w:r>
        <w:rPr>
          <w:rFonts w:eastAsia="Calibri"/>
          <w:sz w:val="22"/>
          <w:szCs w:val="22"/>
        </w:rPr>
        <w:t>ITU</w:t>
      </w:r>
      <w:r w:rsidRPr="00CC4EA9">
        <w:rPr>
          <w:rFonts w:eastAsia="Calibri"/>
          <w:sz w:val="22"/>
          <w:szCs w:val="22"/>
        </w:rPr>
        <w:t>)</w:t>
      </w:r>
    </w:p>
    <w:p w:rsidR="00B84A33" w:rsidRPr="00CC4EA9" w:rsidRDefault="00B954BC" w:rsidP="00B954BC">
      <w:pPr>
        <w:numPr>
          <w:ilvl w:val="0"/>
          <w:numId w:val="5"/>
        </w:numPr>
        <w:spacing w:after="0" w:line="240" w:lineRule="auto"/>
        <w:rPr>
          <w:rFonts w:eastAsia="Calibri"/>
          <w:sz w:val="22"/>
          <w:szCs w:val="22"/>
        </w:rPr>
      </w:pPr>
      <w:r w:rsidRPr="00CC4EA9">
        <w:rPr>
          <w:rFonts w:eastAsia="Calibri"/>
          <w:sz w:val="22"/>
          <w:szCs w:val="22"/>
        </w:rPr>
        <w:t>care of old</w:t>
      </w:r>
      <w:r>
        <w:rPr>
          <w:rFonts w:eastAsia="Calibri"/>
          <w:sz w:val="22"/>
          <w:szCs w:val="22"/>
        </w:rPr>
        <w:t>er</w:t>
      </w:r>
      <w:r w:rsidRPr="00CC4EA9">
        <w:rPr>
          <w:rFonts w:eastAsia="Calibri"/>
          <w:sz w:val="22"/>
          <w:szCs w:val="22"/>
        </w:rPr>
        <w:t xml:space="preserve"> people (e.g. </w:t>
      </w:r>
      <w:r w:rsidRPr="00B954BC">
        <w:rPr>
          <w:rFonts w:eastAsia="Calibri"/>
          <w:sz w:val="22"/>
          <w:szCs w:val="22"/>
        </w:rPr>
        <w:t>district nursing</w:t>
      </w:r>
      <w:r w:rsidRPr="00CC4EA9">
        <w:rPr>
          <w:rFonts w:eastAsia="Calibri"/>
          <w:sz w:val="22"/>
          <w:szCs w:val="22"/>
        </w:rPr>
        <w:t xml:space="preserve"> team, community matron, all medical and surgical wards, care of the elderly wards</w:t>
      </w:r>
      <w:r w:rsidR="00B84A33" w:rsidRPr="00CC4EA9">
        <w:rPr>
          <w:rFonts w:eastAsia="Calibri"/>
          <w:sz w:val="22"/>
          <w:szCs w:val="22"/>
        </w:rPr>
        <w:t>)</w:t>
      </w:r>
    </w:p>
    <w:p w:rsidR="00B84A33" w:rsidRPr="00B84A33" w:rsidRDefault="00B84A33" w:rsidP="00B954BC">
      <w:pPr>
        <w:numPr>
          <w:ilvl w:val="0"/>
          <w:numId w:val="5"/>
        </w:numPr>
        <w:spacing w:after="0" w:line="240" w:lineRule="auto"/>
        <w:rPr>
          <w:rFonts w:eastAsia="Calibri"/>
          <w:sz w:val="22"/>
          <w:szCs w:val="22"/>
        </w:rPr>
      </w:pPr>
      <w:r w:rsidRPr="00CC4EA9">
        <w:rPr>
          <w:rFonts w:eastAsia="Calibri"/>
          <w:sz w:val="22"/>
          <w:szCs w:val="22"/>
        </w:rPr>
        <w:t xml:space="preserve">Home nursing (e.g. </w:t>
      </w:r>
      <w:r w:rsidR="00B954BC" w:rsidRPr="00B954BC">
        <w:rPr>
          <w:rFonts w:eastAsia="Calibri"/>
          <w:sz w:val="22"/>
          <w:szCs w:val="22"/>
        </w:rPr>
        <w:t>district nursing team</w:t>
      </w:r>
      <w:r w:rsidRPr="00CC4EA9">
        <w:rPr>
          <w:rFonts w:eastAsia="Calibri"/>
          <w:sz w:val="22"/>
          <w:szCs w:val="22"/>
        </w:rPr>
        <w:t>, GP practice, nursing home, resident</w:t>
      </w:r>
      <w:r w:rsidR="00B954BC">
        <w:rPr>
          <w:rFonts w:eastAsia="Calibri"/>
          <w:sz w:val="22"/>
          <w:szCs w:val="22"/>
        </w:rPr>
        <w:t>ial homes, walk in centres</w:t>
      </w:r>
      <w:r>
        <w:rPr>
          <w:rFonts w:eastAsia="Calibri"/>
          <w:sz w:val="22"/>
          <w:szCs w:val="22"/>
        </w:rPr>
        <w:t>)</w:t>
      </w:r>
    </w:p>
    <w:p w:rsidR="00374B88" w:rsidRDefault="00B84A33" w:rsidP="00B60ECE">
      <w:r>
        <w:lastRenderedPageBreak/>
        <w:t>F</w:t>
      </w:r>
      <w:r w:rsidR="000616A8">
        <w:t xml:space="preserve">rom September 13 onwards </w:t>
      </w:r>
      <w:r w:rsidR="007A3A44">
        <w:t xml:space="preserve">the allocation of placements </w:t>
      </w:r>
      <w:r w:rsidR="000616A8">
        <w:t>will follow the pattern outlined below:</w:t>
      </w:r>
    </w:p>
    <w:p w:rsidR="000616A8" w:rsidRPr="00B954BC" w:rsidRDefault="000616A8" w:rsidP="00B60ECE">
      <w:pPr>
        <w:rPr>
          <w:b/>
        </w:rPr>
      </w:pPr>
      <w:r w:rsidRPr="00B954BC">
        <w:rPr>
          <w:b/>
        </w:rPr>
        <w:t>Year 1</w:t>
      </w:r>
    </w:p>
    <w:p w:rsidR="000616A8" w:rsidRDefault="000616A8" w:rsidP="00B60ECE">
      <w:r>
        <w:t>Nursing Practice 1 &amp; 2 – Acute setting/Nursing Home or Community Hospital</w:t>
      </w:r>
    </w:p>
    <w:p w:rsidR="000616A8" w:rsidRPr="00B954BC" w:rsidRDefault="000616A8" w:rsidP="00B60ECE">
      <w:pPr>
        <w:rPr>
          <w:b/>
        </w:rPr>
      </w:pPr>
      <w:r w:rsidRPr="00B954BC">
        <w:rPr>
          <w:b/>
        </w:rPr>
        <w:t>Year 2</w:t>
      </w:r>
    </w:p>
    <w:p w:rsidR="000616A8" w:rsidRDefault="000616A8" w:rsidP="00B60ECE">
      <w:r>
        <w:t>Nursing Practice 3, 4 &amp; 5 – Community/Critical Care/Acute setting</w:t>
      </w:r>
    </w:p>
    <w:p w:rsidR="000616A8" w:rsidRPr="00B954BC" w:rsidRDefault="000616A8" w:rsidP="00B60ECE">
      <w:pPr>
        <w:rPr>
          <w:b/>
        </w:rPr>
      </w:pPr>
      <w:r w:rsidRPr="00B954BC">
        <w:rPr>
          <w:b/>
        </w:rPr>
        <w:t>Year 3</w:t>
      </w:r>
    </w:p>
    <w:p w:rsidR="00B84A33" w:rsidRDefault="000616A8" w:rsidP="00B60ECE">
      <w:r>
        <w:t>Nursing Practice 6 &amp; 7 – GP Surgery/Acute setting/Option</w:t>
      </w:r>
      <w:r w:rsidR="00B84A33">
        <w:t xml:space="preserve"> for community placement in NP7.</w:t>
      </w:r>
    </w:p>
    <w:sectPr w:rsidR="00B84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62CD"/>
    <w:multiLevelType w:val="multilevel"/>
    <w:tmpl w:val="558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E4A1C"/>
    <w:multiLevelType w:val="multilevel"/>
    <w:tmpl w:val="9A8C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95855"/>
    <w:multiLevelType w:val="multilevel"/>
    <w:tmpl w:val="E6D8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F1A9D"/>
    <w:multiLevelType w:val="hybridMultilevel"/>
    <w:tmpl w:val="5C88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033D6"/>
    <w:multiLevelType w:val="multilevel"/>
    <w:tmpl w:val="CDD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0"/>
    <w:rsid w:val="000616A8"/>
    <w:rsid w:val="00374B88"/>
    <w:rsid w:val="00653EA0"/>
    <w:rsid w:val="0079737E"/>
    <w:rsid w:val="007A3A44"/>
    <w:rsid w:val="009E69B9"/>
    <w:rsid w:val="00AA0903"/>
    <w:rsid w:val="00B60ECE"/>
    <w:rsid w:val="00B61A0B"/>
    <w:rsid w:val="00B84A33"/>
    <w:rsid w:val="00B954BC"/>
    <w:rsid w:val="00C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54154-D57C-43EC-8039-41EA4693CAE1}"/>
</file>

<file path=customXml/itemProps2.xml><?xml version="1.0" encoding="utf-8"?>
<ds:datastoreItem xmlns:ds="http://schemas.openxmlformats.org/officeDocument/2006/customXml" ds:itemID="{674E75E2-FFF1-4122-B121-780F54305C21}"/>
</file>

<file path=customXml/itemProps3.xml><?xml version="1.0" encoding="utf-8"?>
<ds:datastoreItem xmlns:ds="http://schemas.openxmlformats.org/officeDocument/2006/customXml" ds:itemID="{731DE02E-F9B7-4518-8C7E-F87C9B276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03Adult Nursing Overview.docx</dc:title>
  <dc:creator>Virginia Radcliffe</dc:creator>
  <cp:lastModifiedBy>Elizabeth Robinson</cp:lastModifiedBy>
  <cp:revision>2</cp:revision>
  <dcterms:created xsi:type="dcterms:W3CDTF">2013-08-07T07:53:00Z</dcterms:created>
  <dcterms:modified xsi:type="dcterms:W3CDTF">2013-08-07T07:53:00Z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