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2388919" w:displacedByCustomXml="next"/>
    <w:bookmarkStart w:id="2" w:name="_Toc382385198" w:displacedByCustomXml="next"/>
    <w:bookmarkStart w:id="3" w:name="_Toc382384942" w:displacedByCustomXml="next"/>
    <w:bookmarkStart w:id="4" w:name="_Toc383439559" w:displacedByCustomXml="next"/>
    <w:sdt>
      <w:sdtPr>
        <w:rPr>
          <w:rFonts w:eastAsia="Times New Roman" w:cstheme="minorHAnsi"/>
          <w:b/>
          <w:sz w:val="32"/>
          <w:szCs w:val="32"/>
        </w:rPr>
        <w:alias w:val="Document name"/>
        <w:tag w:val="Template name"/>
        <w:id w:val="1704436313"/>
        <w:placeholder>
          <w:docPart w:val="0624EA62ACFE42E1B4A820E2883FE8A6"/>
        </w:placeholder>
      </w:sdtPr>
      <w:sdtEndPr/>
      <w:sdtContent>
        <w:bookmarkEnd w:id="3" w:displacedByCustomXml="prev"/>
        <w:bookmarkEnd w:id="2" w:displacedByCustomXml="prev"/>
        <w:bookmarkEnd w:id="1" w:displacedByCustomXml="prev"/>
        <w:p w14:paraId="5E649015"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4" w:displacedByCustomXml="prev"/>
    <w:p w14:paraId="52F84F51" w14:textId="4F6C64F9"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0" w:history="1">
        <w:r w:rsidR="0001363B" w:rsidRPr="00C21921">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1"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1371B650" w14:textId="763366DE"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 xml:space="preserve">Activity Title: </w:t>
      </w:r>
      <w:r w:rsidR="009B17F0">
        <w:rPr>
          <w:rFonts w:eastAsia="Times New Roman" w:cstheme="minorHAnsi"/>
          <w:b/>
          <w:bCs/>
          <w:sz w:val="24"/>
          <w:szCs w:val="24"/>
        </w:rPr>
        <w:t>New Academic Workload Model System (AWMS) &amp; Model.</w:t>
      </w:r>
    </w:p>
    <w:p w14:paraId="0C6BE88B" w14:textId="2F725E4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Project Manager and Contact:</w:t>
      </w:r>
      <w:r w:rsidR="009B17F0">
        <w:rPr>
          <w:rFonts w:eastAsia="Times New Roman" w:cstheme="minorHAnsi"/>
          <w:b/>
          <w:bCs/>
          <w:sz w:val="24"/>
          <w:szCs w:val="24"/>
        </w:rPr>
        <w:t xml:space="preserve"> Laura Collins (PM), Tom Godwin (BA)</w:t>
      </w:r>
    </w:p>
    <w:p w14:paraId="22C4C8EE"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725D2148"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Proposed activity (change, refresh, policy, process or practice) being analysed</w:t>
      </w:r>
    </w:p>
    <w:p w14:paraId="5D496EB9" w14:textId="7C711E03" w:rsidR="00DC58A4" w:rsidRPr="00DC58A4" w:rsidRDefault="00DC58A4" w:rsidP="00DC58A4">
      <w:pPr>
        <w:spacing w:after="0" w:line="240" w:lineRule="auto"/>
        <w:ind w:left="-454"/>
        <w:rPr>
          <w:rFonts w:cstheme="minorHAnsi"/>
          <w:sz w:val="24"/>
          <w:szCs w:val="24"/>
        </w:rPr>
      </w:pPr>
      <w:r w:rsidRPr="00DC58A4">
        <w:rPr>
          <w:rFonts w:cstheme="minorHAnsi"/>
          <w:sz w:val="24"/>
          <w:szCs w:val="24"/>
        </w:rPr>
        <w:t xml:space="preserve">The proposed activity is the implementation of a new Academic Workload Management System (AWMS) to replace UWE’s legacy </w:t>
      </w:r>
      <w:r>
        <w:rPr>
          <w:rFonts w:cstheme="minorHAnsi"/>
          <w:sz w:val="24"/>
          <w:szCs w:val="24"/>
        </w:rPr>
        <w:t xml:space="preserve">WAMS </w:t>
      </w:r>
      <w:r w:rsidRPr="00DC58A4">
        <w:rPr>
          <w:rFonts w:cstheme="minorHAnsi"/>
          <w:sz w:val="24"/>
          <w:szCs w:val="24"/>
        </w:rPr>
        <w:t>system</w:t>
      </w:r>
      <w:r>
        <w:rPr>
          <w:rFonts w:cstheme="minorHAnsi"/>
          <w:sz w:val="24"/>
          <w:szCs w:val="24"/>
        </w:rPr>
        <w:t>, and a re-designed allocation calculation model to accompany it</w:t>
      </w:r>
      <w:r w:rsidRPr="00DC58A4">
        <w:rPr>
          <w:rFonts w:cstheme="minorHAnsi"/>
          <w:sz w:val="24"/>
          <w:szCs w:val="24"/>
        </w:rPr>
        <w:t xml:space="preserve">. The objectives are to provide a modern, scalable, and transparent method for allocating, managing, and reporting academic workload, using an industry-standard model based on </w:t>
      </w:r>
      <w:r w:rsidR="00C164C3">
        <w:rPr>
          <w:rFonts w:cstheme="minorHAnsi"/>
          <w:sz w:val="24"/>
          <w:szCs w:val="24"/>
        </w:rPr>
        <w:t xml:space="preserve">direct </w:t>
      </w:r>
      <w:r w:rsidRPr="00DC58A4">
        <w:rPr>
          <w:rFonts w:cstheme="minorHAnsi"/>
          <w:sz w:val="24"/>
          <w:szCs w:val="24"/>
        </w:rPr>
        <w:t>teaching hours rather than bundles</w:t>
      </w:r>
      <w:r w:rsidR="00FE3604">
        <w:rPr>
          <w:rFonts w:cstheme="minorHAnsi"/>
          <w:sz w:val="24"/>
          <w:szCs w:val="24"/>
        </w:rPr>
        <w:t xml:space="preserve"> (2.5</w:t>
      </w:r>
      <w:r w:rsidR="00C164C3">
        <w:rPr>
          <w:rFonts w:cstheme="minorHAnsi"/>
          <w:sz w:val="24"/>
          <w:szCs w:val="24"/>
        </w:rPr>
        <w:t xml:space="preserve"> hours per bundle)</w:t>
      </w:r>
      <w:r w:rsidRPr="00DC58A4">
        <w:rPr>
          <w:rFonts w:cstheme="minorHAnsi"/>
          <w:sz w:val="24"/>
          <w:szCs w:val="24"/>
        </w:rPr>
        <w:t>. The change will improve fairness, consistency, and efficiency in workload allocation, while reducing reliance on outdated systems.</w:t>
      </w:r>
    </w:p>
    <w:p w14:paraId="65298EAA" w14:textId="77777777" w:rsidR="00DC58A4" w:rsidRPr="00DC58A4" w:rsidRDefault="00DC58A4" w:rsidP="00DC58A4">
      <w:pPr>
        <w:spacing w:after="0" w:line="240" w:lineRule="auto"/>
        <w:ind w:left="-454"/>
        <w:rPr>
          <w:rFonts w:cstheme="minorHAnsi"/>
          <w:sz w:val="24"/>
          <w:szCs w:val="24"/>
        </w:rPr>
      </w:pPr>
    </w:p>
    <w:p w14:paraId="7ACB29C0" w14:textId="5103332E" w:rsidR="00DC58A4" w:rsidRPr="00177813" w:rsidRDefault="00DC58A4" w:rsidP="00DC58A4">
      <w:pPr>
        <w:spacing w:after="0" w:line="240" w:lineRule="auto"/>
        <w:ind w:left="-454"/>
        <w:rPr>
          <w:rFonts w:cstheme="minorHAnsi"/>
          <w:sz w:val="24"/>
          <w:szCs w:val="24"/>
        </w:rPr>
      </w:pPr>
      <w:r w:rsidRPr="00DC58A4">
        <w:rPr>
          <w:rFonts w:cstheme="minorHAnsi"/>
          <w:sz w:val="24"/>
          <w:szCs w:val="24"/>
        </w:rPr>
        <w:t xml:space="preserve">Academic staff will experience new workload allocations based on the revised model, which may significantly affect some individuals depending on their current allocation patterns. While the new system </w:t>
      </w:r>
      <w:r>
        <w:rPr>
          <w:rFonts w:cstheme="minorHAnsi"/>
          <w:sz w:val="24"/>
          <w:szCs w:val="24"/>
        </w:rPr>
        <w:t xml:space="preserve">and model </w:t>
      </w:r>
      <w:r w:rsidRPr="00DC58A4">
        <w:rPr>
          <w:rFonts w:cstheme="minorHAnsi"/>
          <w:sz w:val="24"/>
          <w:szCs w:val="24"/>
        </w:rPr>
        <w:t>is designed to ensure greater fairness and transparency across the institution, it may result in noticeable changes to how workload is calculated and distributed. Managers and allocators will also experience new processes in how they assign and review workload. Students, visitors, and contractors will not be directly affected</w:t>
      </w:r>
      <w:r>
        <w:rPr>
          <w:rFonts w:cstheme="minorHAnsi"/>
          <w:sz w:val="24"/>
          <w:szCs w:val="24"/>
        </w:rPr>
        <w:t>.</w:t>
      </w:r>
    </w:p>
    <w:p w14:paraId="26B5607B" w14:textId="77777777" w:rsidR="00177813" w:rsidRPr="00177813" w:rsidRDefault="00177813" w:rsidP="00177813">
      <w:pPr>
        <w:spacing w:after="0" w:line="240" w:lineRule="auto"/>
        <w:ind w:left="-454"/>
        <w:rPr>
          <w:rFonts w:cstheme="minorHAnsi"/>
          <w:sz w:val="24"/>
          <w:szCs w:val="24"/>
        </w:rPr>
      </w:pPr>
    </w:p>
    <w:p w14:paraId="1743133F"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What sources of information/ data, or who have you identified to help explore potential equalities impacts?</w:t>
      </w:r>
    </w:p>
    <w:p w14:paraId="5615CA66" w14:textId="6976C548" w:rsidR="00DC58A4" w:rsidRPr="00DC58A4" w:rsidRDefault="00DC58A4" w:rsidP="00DC58A4">
      <w:pPr>
        <w:spacing w:after="0" w:line="240" w:lineRule="auto"/>
        <w:ind w:left="-454"/>
        <w:rPr>
          <w:rFonts w:cstheme="minorHAnsi"/>
          <w:sz w:val="24"/>
          <w:szCs w:val="24"/>
        </w:rPr>
      </w:pPr>
      <w:r w:rsidRPr="00DC58A4">
        <w:rPr>
          <w:rFonts w:cstheme="minorHAnsi"/>
          <w:sz w:val="24"/>
          <w:szCs w:val="24"/>
        </w:rPr>
        <w:t>To explore potential equalities impacts, we will draw on a combination of internal and external sources</w:t>
      </w:r>
      <w:r w:rsidR="00873352">
        <w:rPr>
          <w:rFonts w:cstheme="minorHAnsi"/>
          <w:sz w:val="24"/>
          <w:szCs w:val="24"/>
        </w:rPr>
        <w:t xml:space="preserve"> to provide both quantitative and qualitative analysis. </w:t>
      </w:r>
    </w:p>
    <w:p w14:paraId="7AE8D0C4" w14:textId="77777777" w:rsidR="00DC58A4" w:rsidRDefault="00DC58A4" w:rsidP="00DC58A4">
      <w:pPr>
        <w:pStyle w:val="ListParagraph"/>
        <w:numPr>
          <w:ilvl w:val="0"/>
          <w:numId w:val="2"/>
        </w:numPr>
        <w:spacing w:after="0" w:line="240" w:lineRule="auto"/>
        <w:rPr>
          <w:rFonts w:cstheme="minorHAnsi"/>
          <w:sz w:val="24"/>
          <w:szCs w:val="24"/>
        </w:rPr>
      </w:pPr>
      <w:r w:rsidRPr="00DC58A4">
        <w:rPr>
          <w:rFonts w:cstheme="minorHAnsi"/>
          <w:sz w:val="24"/>
          <w:szCs w:val="24"/>
        </w:rPr>
        <w:lastRenderedPageBreak/>
        <w:t>UWE staffing statistics (e.g</w:t>
      </w:r>
      <w:r>
        <w:rPr>
          <w:rFonts w:cstheme="minorHAnsi"/>
          <w:sz w:val="24"/>
          <w:szCs w:val="24"/>
        </w:rPr>
        <w:t>.</w:t>
      </w:r>
      <w:r w:rsidRPr="00DC58A4">
        <w:rPr>
          <w:rFonts w:cstheme="minorHAnsi"/>
          <w:sz w:val="24"/>
          <w:szCs w:val="24"/>
        </w:rPr>
        <w:t xml:space="preserve"> staff demographics, contract types, part-time vs full-time working patterns, gender, ethnicity, disability, caring responsibilities) to assess whether the new workload allocation model has disproportionate impacts on </w:t>
      </w:r>
      <w:proofErr w:type="gramStart"/>
      <w:r w:rsidRPr="00DC58A4">
        <w:rPr>
          <w:rFonts w:cstheme="minorHAnsi"/>
          <w:sz w:val="24"/>
          <w:szCs w:val="24"/>
        </w:rPr>
        <w:t>particular groups</w:t>
      </w:r>
      <w:proofErr w:type="gramEnd"/>
      <w:r>
        <w:rPr>
          <w:rFonts w:cstheme="minorHAnsi"/>
          <w:sz w:val="24"/>
          <w:szCs w:val="24"/>
        </w:rPr>
        <w:t>.</w:t>
      </w:r>
    </w:p>
    <w:p w14:paraId="04C1B855" w14:textId="0626AD9D" w:rsidR="00DC58A4" w:rsidRDefault="00730EE4" w:rsidP="00DC58A4">
      <w:pPr>
        <w:pStyle w:val="ListParagraph"/>
        <w:numPr>
          <w:ilvl w:val="0"/>
          <w:numId w:val="2"/>
        </w:numPr>
        <w:spacing w:after="0" w:line="240" w:lineRule="auto"/>
        <w:rPr>
          <w:rFonts w:cstheme="minorHAnsi"/>
          <w:sz w:val="24"/>
          <w:szCs w:val="24"/>
        </w:rPr>
      </w:pPr>
      <w:r>
        <w:rPr>
          <w:rFonts w:cstheme="minorHAnsi"/>
          <w:sz w:val="24"/>
          <w:szCs w:val="24"/>
        </w:rPr>
        <w:t>Engaging HE institutions who have</w:t>
      </w:r>
      <w:r w:rsidR="00433DF1">
        <w:rPr>
          <w:rFonts w:cstheme="minorHAnsi"/>
          <w:sz w:val="24"/>
          <w:szCs w:val="24"/>
        </w:rPr>
        <w:t xml:space="preserve"> recently implemented </w:t>
      </w:r>
      <w:proofErr w:type="spellStart"/>
      <w:r w:rsidR="00D80CD6">
        <w:rPr>
          <w:rFonts w:cstheme="minorHAnsi"/>
          <w:sz w:val="24"/>
          <w:szCs w:val="24"/>
        </w:rPr>
        <w:t>Simitive</w:t>
      </w:r>
      <w:proofErr w:type="spellEnd"/>
      <w:r w:rsidR="00D80CD6">
        <w:rPr>
          <w:rFonts w:cstheme="minorHAnsi"/>
          <w:sz w:val="24"/>
          <w:szCs w:val="24"/>
        </w:rPr>
        <w:t xml:space="preserve"> AWMS </w:t>
      </w:r>
      <w:r w:rsidR="00DC58A4" w:rsidRPr="00DC58A4">
        <w:rPr>
          <w:rFonts w:cstheme="minorHAnsi"/>
          <w:sz w:val="24"/>
          <w:szCs w:val="24"/>
        </w:rPr>
        <w:t xml:space="preserve">to understand </w:t>
      </w:r>
      <w:r w:rsidR="00D80CD6">
        <w:rPr>
          <w:rFonts w:cstheme="minorHAnsi"/>
          <w:sz w:val="24"/>
          <w:szCs w:val="24"/>
        </w:rPr>
        <w:t xml:space="preserve">how they handled and built in </w:t>
      </w:r>
      <w:r w:rsidR="00DC58A4" w:rsidRPr="00DC58A4">
        <w:rPr>
          <w:rFonts w:cstheme="minorHAnsi"/>
          <w:sz w:val="24"/>
          <w:szCs w:val="24"/>
        </w:rPr>
        <w:t xml:space="preserve">equality considerations </w:t>
      </w:r>
      <w:r w:rsidR="00D80CD6">
        <w:rPr>
          <w:rFonts w:cstheme="minorHAnsi"/>
          <w:sz w:val="24"/>
          <w:szCs w:val="24"/>
        </w:rPr>
        <w:t xml:space="preserve">to </w:t>
      </w:r>
      <w:r w:rsidR="00DC58A4" w:rsidRPr="00DC58A4">
        <w:rPr>
          <w:rFonts w:cstheme="minorHAnsi"/>
          <w:sz w:val="24"/>
          <w:szCs w:val="24"/>
        </w:rPr>
        <w:t>workload model</w:t>
      </w:r>
      <w:r>
        <w:rPr>
          <w:rFonts w:cstheme="minorHAnsi"/>
          <w:sz w:val="24"/>
          <w:szCs w:val="24"/>
        </w:rPr>
        <w:t>ling</w:t>
      </w:r>
      <w:r w:rsidR="00DC58A4" w:rsidRPr="00DC58A4">
        <w:rPr>
          <w:rFonts w:cstheme="minorHAnsi"/>
          <w:sz w:val="24"/>
          <w:szCs w:val="24"/>
        </w:rPr>
        <w:t xml:space="preserve"> </w:t>
      </w:r>
      <w:r w:rsidR="00D80CD6">
        <w:rPr>
          <w:rFonts w:cstheme="minorHAnsi"/>
          <w:sz w:val="24"/>
          <w:szCs w:val="24"/>
        </w:rPr>
        <w:t xml:space="preserve">and AWMS implementation, to </w:t>
      </w:r>
      <w:r w:rsidR="00DC58A4" w:rsidRPr="00DC58A4">
        <w:rPr>
          <w:rFonts w:cstheme="minorHAnsi"/>
          <w:sz w:val="24"/>
          <w:szCs w:val="24"/>
        </w:rPr>
        <w:t>ensure alignment with best practice</w:t>
      </w:r>
      <w:r w:rsidR="00873352">
        <w:rPr>
          <w:rFonts w:cstheme="minorHAnsi"/>
          <w:sz w:val="24"/>
          <w:szCs w:val="24"/>
        </w:rPr>
        <w:t>s</w:t>
      </w:r>
      <w:r w:rsidR="00DC58A4" w:rsidRPr="00DC58A4">
        <w:rPr>
          <w:rFonts w:cstheme="minorHAnsi"/>
          <w:sz w:val="24"/>
          <w:szCs w:val="24"/>
        </w:rPr>
        <w:t>.</w:t>
      </w:r>
    </w:p>
    <w:p w14:paraId="1CCB060A" w14:textId="6FC6CF25" w:rsidR="006041F4" w:rsidRDefault="006041F4" w:rsidP="00DC58A4">
      <w:pPr>
        <w:pStyle w:val="ListParagraph"/>
        <w:numPr>
          <w:ilvl w:val="0"/>
          <w:numId w:val="2"/>
        </w:numPr>
        <w:spacing w:after="0" w:line="240" w:lineRule="auto"/>
        <w:rPr>
          <w:rFonts w:cstheme="minorHAnsi"/>
          <w:sz w:val="24"/>
          <w:szCs w:val="24"/>
        </w:rPr>
      </w:pPr>
      <w:r>
        <w:rPr>
          <w:rFonts w:cstheme="minorHAnsi"/>
          <w:sz w:val="24"/>
          <w:szCs w:val="24"/>
        </w:rPr>
        <w:t>Numerous opportunities for e</w:t>
      </w:r>
      <w:r w:rsidR="00DC58A4" w:rsidRPr="00DC58A4">
        <w:rPr>
          <w:rFonts w:cstheme="minorHAnsi"/>
          <w:sz w:val="24"/>
          <w:szCs w:val="24"/>
        </w:rPr>
        <w:t>ngagement with staff and trade unions through consultation and feedback sessions</w:t>
      </w:r>
      <w:r>
        <w:rPr>
          <w:rFonts w:cstheme="minorHAnsi"/>
          <w:sz w:val="24"/>
          <w:szCs w:val="24"/>
        </w:rPr>
        <w:t>, including surveys</w:t>
      </w:r>
      <w:r w:rsidR="00873352">
        <w:rPr>
          <w:rFonts w:cstheme="minorHAnsi"/>
          <w:sz w:val="24"/>
          <w:szCs w:val="24"/>
        </w:rPr>
        <w:t xml:space="preserve"> &amp;</w:t>
      </w:r>
      <w:r>
        <w:rPr>
          <w:rFonts w:cstheme="minorHAnsi"/>
          <w:sz w:val="24"/>
          <w:szCs w:val="24"/>
        </w:rPr>
        <w:t xml:space="preserve"> workshops</w:t>
      </w:r>
      <w:r w:rsidR="00873352">
        <w:rPr>
          <w:rFonts w:cstheme="minorHAnsi"/>
          <w:sz w:val="24"/>
          <w:szCs w:val="24"/>
        </w:rPr>
        <w:t xml:space="preserve"> to capture lived experiences and concerns.</w:t>
      </w:r>
    </w:p>
    <w:p w14:paraId="67A9915D" w14:textId="77777777" w:rsidR="00DC58A4" w:rsidRDefault="00DC58A4" w:rsidP="00DC58A4">
      <w:pPr>
        <w:pStyle w:val="ListParagraph"/>
        <w:numPr>
          <w:ilvl w:val="0"/>
          <w:numId w:val="2"/>
        </w:numPr>
        <w:spacing w:after="0" w:line="240" w:lineRule="auto"/>
        <w:rPr>
          <w:rFonts w:cstheme="minorHAnsi"/>
          <w:sz w:val="24"/>
          <w:szCs w:val="24"/>
        </w:rPr>
      </w:pPr>
      <w:r w:rsidRPr="00DC58A4">
        <w:rPr>
          <w:rFonts w:cstheme="minorHAnsi"/>
          <w:sz w:val="24"/>
          <w:szCs w:val="24"/>
        </w:rPr>
        <w:t>Academic and Professional Services managers who are directly involved in workload allocation, to identify potential challenges or unintended consequences for their teams.</w:t>
      </w:r>
    </w:p>
    <w:p w14:paraId="28326F81" w14:textId="7E413767" w:rsidR="00DC58A4" w:rsidRDefault="00DC58A4" w:rsidP="00DC58A4">
      <w:pPr>
        <w:pStyle w:val="ListParagraph"/>
        <w:numPr>
          <w:ilvl w:val="0"/>
          <w:numId w:val="2"/>
        </w:numPr>
        <w:spacing w:after="0" w:line="240" w:lineRule="auto"/>
        <w:rPr>
          <w:rFonts w:cstheme="minorHAnsi"/>
          <w:sz w:val="24"/>
          <w:szCs w:val="24"/>
        </w:rPr>
      </w:pPr>
      <w:r w:rsidRPr="00DC58A4">
        <w:rPr>
          <w:rFonts w:cstheme="minorHAnsi"/>
          <w:sz w:val="24"/>
          <w:szCs w:val="24"/>
        </w:rPr>
        <w:t>Staff Networks to test whether workload changes could disproportionately affect staff</w:t>
      </w:r>
      <w:r w:rsidR="00761AEE">
        <w:rPr>
          <w:rFonts w:cstheme="minorHAnsi"/>
          <w:sz w:val="24"/>
          <w:szCs w:val="24"/>
        </w:rPr>
        <w:t xml:space="preserve"> </w:t>
      </w:r>
      <w:r w:rsidRPr="00DC58A4">
        <w:rPr>
          <w:rFonts w:cstheme="minorHAnsi"/>
          <w:sz w:val="24"/>
          <w:szCs w:val="24"/>
        </w:rPr>
        <w:t xml:space="preserve">with protected </w:t>
      </w:r>
      <w:r w:rsidR="00761AEE">
        <w:rPr>
          <w:rFonts w:cstheme="minorHAnsi"/>
          <w:sz w:val="24"/>
          <w:szCs w:val="24"/>
        </w:rPr>
        <w:t xml:space="preserve">or intersectional </w:t>
      </w:r>
      <w:r w:rsidRPr="00DC58A4">
        <w:rPr>
          <w:rFonts w:cstheme="minorHAnsi"/>
          <w:sz w:val="24"/>
          <w:szCs w:val="24"/>
        </w:rPr>
        <w:t>characteristics.</w:t>
      </w:r>
    </w:p>
    <w:p w14:paraId="4EC2DDA1" w14:textId="341BC3C7" w:rsidR="00DC58A4" w:rsidRPr="00DC58A4" w:rsidRDefault="00DC58A4" w:rsidP="00DC58A4">
      <w:pPr>
        <w:pStyle w:val="ListParagraph"/>
        <w:numPr>
          <w:ilvl w:val="0"/>
          <w:numId w:val="2"/>
        </w:numPr>
        <w:spacing w:after="0" w:line="240" w:lineRule="auto"/>
        <w:rPr>
          <w:rFonts w:cstheme="minorHAnsi"/>
          <w:sz w:val="24"/>
          <w:szCs w:val="24"/>
        </w:rPr>
      </w:pPr>
      <w:r w:rsidRPr="00DC58A4">
        <w:rPr>
          <w:rFonts w:cstheme="minorHAnsi"/>
          <w:sz w:val="24"/>
          <w:szCs w:val="24"/>
        </w:rPr>
        <w:t>Planning Partners and HR to provide expertise on workforce planning, employment law, and compliance with equality obligations.</w:t>
      </w:r>
    </w:p>
    <w:p w14:paraId="24BD47E6" w14:textId="77777777" w:rsidR="00DC58A4" w:rsidRPr="00DC58A4" w:rsidRDefault="00DC58A4" w:rsidP="00DC58A4">
      <w:pPr>
        <w:spacing w:after="0" w:line="240" w:lineRule="auto"/>
        <w:ind w:left="-454"/>
        <w:rPr>
          <w:rFonts w:cstheme="minorHAnsi"/>
          <w:sz w:val="24"/>
          <w:szCs w:val="24"/>
        </w:rPr>
      </w:pPr>
    </w:p>
    <w:p w14:paraId="3D23AC4F" w14:textId="77777777" w:rsidR="00DC58A4" w:rsidRPr="00177813" w:rsidRDefault="00DC58A4" w:rsidP="00177813">
      <w:pPr>
        <w:spacing w:after="0" w:line="240" w:lineRule="auto"/>
        <w:ind w:left="-454"/>
        <w:rPr>
          <w:rFonts w:cstheme="minorHAnsi"/>
          <w:sz w:val="24"/>
          <w:szCs w:val="24"/>
        </w:rPr>
      </w:pPr>
    </w:p>
    <w:p w14:paraId="47EEBCA2" w14:textId="77777777" w:rsidR="00177813" w:rsidRPr="00177813" w:rsidRDefault="00177813" w:rsidP="00177813">
      <w:pPr>
        <w:spacing w:after="0" w:line="240" w:lineRule="auto"/>
        <w:ind w:left="-454"/>
        <w:rPr>
          <w:rFonts w:cstheme="minorHAnsi"/>
          <w:sz w:val="24"/>
          <w:szCs w:val="24"/>
        </w:rPr>
      </w:pPr>
      <w:r w:rsidRPr="00177813">
        <w:rPr>
          <w:rFonts w:asciiTheme="majorHAnsi" w:hAnsiTheme="majorHAnsi" w:cstheme="majorHAnsi"/>
          <w:color w:val="002060"/>
          <w:sz w:val="26"/>
          <w:szCs w:val="26"/>
        </w:rPr>
        <w:t>Assessing the activity from different perspectives</w:t>
      </w:r>
    </w:p>
    <w:p w14:paraId="2CC7784E" w14:textId="77777777" w:rsidR="00177813" w:rsidRPr="00177813" w:rsidRDefault="00177813" w:rsidP="00177813">
      <w:pPr>
        <w:spacing w:after="0" w:line="240" w:lineRule="auto"/>
        <w:ind w:left="-454"/>
        <w:rPr>
          <w:rFonts w:cstheme="minorHAnsi"/>
          <w:sz w:val="24"/>
          <w:szCs w:val="24"/>
        </w:rPr>
      </w:pPr>
      <w:r w:rsidRPr="00177813">
        <w:rPr>
          <w:rFonts w:cstheme="minorHAnsi"/>
          <w:sz w:val="24"/>
          <w:szCs w:val="24"/>
        </w:rPr>
        <w:t xml:space="preserve">Might your proposal impact people who identify with the protected groups below in the following contexts? </w:t>
      </w:r>
    </w:p>
    <w:p w14:paraId="7B5F1FEC" w14:textId="77777777" w:rsidR="00177813" w:rsidRDefault="00177813" w:rsidP="00177813">
      <w:pPr>
        <w:numPr>
          <w:ilvl w:val="0"/>
          <w:numId w:val="1"/>
        </w:numPr>
        <w:spacing w:after="0" w:line="240" w:lineRule="auto"/>
        <w:contextualSpacing/>
        <w:rPr>
          <w:rFonts w:cstheme="minorHAnsi"/>
          <w:sz w:val="24"/>
          <w:szCs w:val="24"/>
        </w:rPr>
      </w:pPr>
      <w:r w:rsidRPr="00177813">
        <w:rPr>
          <w:rFonts w:cstheme="minorHAnsi"/>
          <w:sz w:val="24"/>
          <w:szCs w:val="24"/>
        </w:rPr>
        <w:t>Access to or participation in UWE Bristol Faculties or Professional Services?</w:t>
      </w:r>
    </w:p>
    <w:p w14:paraId="0ED15894" w14:textId="6FB5A449" w:rsidR="00873352" w:rsidRPr="00177813" w:rsidRDefault="00037EAD" w:rsidP="00873352">
      <w:pPr>
        <w:numPr>
          <w:ilvl w:val="1"/>
          <w:numId w:val="1"/>
        </w:numPr>
        <w:spacing w:after="0" w:line="240" w:lineRule="auto"/>
        <w:contextualSpacing/>
        <w:rPr>
          <w:rFonts w:cstheme="minorHAnsi"/>
          <w:sz w:val="24"/>
          <w:szCs w:val="24"/>
        </w:rPr>
      </w:pPr>
      <w:r>
        <w:rPr>
          <w:rFonts w:cstheme="minorHAnsi"/>
          <w:sz w:val="24"/>
          <w:szCs w:val="24"/>
        </w:rPr>
        <w:t xml:space="preserve">There will be a strong impact on the Planning Partners who will need to learn, adapt to and </w:t>
      </w:r>
      <w:r w:rsidR="008617F4">
        <w:rPr>
          <w:rFonts w:cstheme="minorHAnsi"/>
          <w:sz w:val="24"/>
          <w:szCs w:val="24"/>
        </w:rPr>
        <w:t>work</w:t>
      </w:r>
      <w:r>
        <w:rPr>
          <w:rFonts w:cstheme="minorHAnsi"/>
          <w:sz w:val="24"/>
          <w:szCs w:val="24"/>
        </w:rPr>
        <w:t xml:space="preserve"> in a new system with a new model</w:t>
      </w:r>
      <w:r w:rsidR="00887D81">
        <w:rPr>
          <w:rFonts w:cstheme="minorHAnsi"/>
          <w:sz w:val="24"/>
          <w:szCs w:val="24"/>
        </w:rPr>
        <w:t>, however we are involving them in the board, model development and implementation</w:t>
      </w:r>
      <w:r>
        <w:rPr>
          <w:rFonts w:cstheme="minorHAnsi"/>
          <w:sz w:val="24"/>
          <w:szCs w:val="24"/>
        </w:rPr>
        <w:t xml:space="preserve">. </w:t>
      </w:r>
      <w:r w:rsidR="00887D81">
        <w:rPr>
          <w:rFonts w:cstheme="minorHAnsi"/>
          <w:sz w:val="24"/>
          <w:szCs w:val="24"/>
        </w:rPr>
        <w:t xml:space="preserve">Other than this team, </w:t>
      </w:r>
      <w:r w:rsidR="002E4193">
        <w:rPr>
          <w:rFonts w:cstheme="minorHAnsi"/>
          <w:sz w:val="24"/>
          <w:szCs w:val="24"/>
        </w:rPr>
        <w:t>m</w:t>
      </w:r>
      <w:r w:rsidR="00873352" w:rsidRPr="00873352">
        <w:rPr>
          <w:rFonts w:cstheme="minorHAnsi"/>
          <w:sz w:val="24"/>
          <w:szCs w:val="24"/>
        </w:rPr>
        <w:t xml:space="preserve">inimal direct impact is expected on students or Professional Services staff. However, academic staff may experience changes in how their workload is allocated, recorded, and communicated. </w:t>
      </w:r>
    </w:p>
    <w:p w14:paraId="0B58ADE7" w14:textId="77777777" w:rsidR="00177813" w:rsidRDefault="00177813" w:rsidP="00177813">
      <w:pPr>
        <w:numPr>
          <w:ilvl w:val="0"/>
          <w:numId w:val="1"/>
        </w:numPr>
        <w:spacing w:after="0" w:line="240" w:lineRule="auto"/>
        <w:contextualSpacing/>
        <w:rPr>
          <w:rFonts w:cstheme="minorHAnsi"/>
          <w:sz w:val="24"/>
          <w:szCs w:val="24"/>
        </w:rPr>
      </w:pPr>
      <w:r w:rsidRPr="00177813">
        <w:rPr>
          <w:rFonts w:cstheme="minorHAnsi"/>
          <w:sz w:val="24"/>
          <w:szCs w:val="24"/>
        </w:rPr>
        <w:t>Student experience, attainment or withdrawal?</w:t>
      </w:r>
    </w:p>
    <w:p w14:paraId="387D27EF" w14:textId="27FD8F95" w:rsidR="00873352" w:rsidRPr="00177813" w:rsidRDefault="00873352" w:rsidP="00873352">
      <w:pPr>
        <w:numPr>
          <w:ilvl w:val="1"/>
          <w:numId w:val="1"/>
        </w:numPr>
        <w:spacing w:after="0" w:line="240" w:lineRule="auto"/>
        <w:contextualSpacing/>
        <w:rPr>
          <w:rFonts w:cstheme="minorHAnsi"/>
          <w:sz w:val="24"/>
          <w:szCs w:val="24"/>
        </w:rPr>
      </w:pPr>
      <w:r>
        <w:rPr>
          <w:rFonts w:cstheme="minorHAnsi"/>
          <w:sz w:val="24"/>
          <w:szCs w:val="24"/>
        </w:rPr>
        <w:t>There are not perceived to be any direct impacts on students. However, i</w:t>
      </w:r>
      <w:r w:rsidRPr="00873352">
        <w:rPr>
          <w:rFonts w:cstheme="minorHAnsi"/>
          <w:sz w:val="24"/>
          <w:szCs w:val="24"/>
        </w:rPr>
        <w:t>ndirect impacts may arise if workload allocation is uneven or perceived as unfair, leading to staff stress or reduced time available for student-facing activity. By improving transparency, consistency, and accuracy, the AWMS is intended t</w:t>
      </w:r>
      <w:r>
        <w:rPr>
          <w:rFonts w:cstheme="minorHAnsi"/>
          <w:sz w:val="24"/>
          <w:szCs w:val="24"/>
        </w:rPr>
        <w:t xml:space="preserve">o positively </w:t>
      </w:r>
      <w:r w:rsidRPr="00873352">
        <w:rPr>
          <w:rFonts w:cstheme="minorHAnsi"/>
          <w:sz w:val="24"/>
          <w:szCs w:val="24"/>
        </w:rPr>
        <w:t xml:space="preserve">support student experience by ensuring staff workloads are more manageable and </w:t>
      </w:r>
      <w:proofErr w:type="gramStart"/>
      <w:r w:rsidRPr="00873352">
        <w:rPr>
          <w:rFonts w:cstheme="minorHAnsi"/>
          <w:sz w:val="24"/>
          <w:szCs w:val="24"/>
        </w:rPr>
        <w:t>fairly distributed</w:t>
      </w:r>
      <w:proofErr w:type="gramEnd"/>
      <w:r w:rsidRPr="00873352">
        <w:rPr>
          <w:rFonts w:cstheme="minorHAnsi"/>
          <w:sz w:val="24"/>
          <w:szCs w:val="24"/>
        </w:rPr>
        <w:t>.</w:t>
      </w:r>
    </w:p>
    <w:p w14:paraId="6414327C" w14:textId="77777777" w:rsidR="00177813" w:rsidRDefault="00177813" w:rsidP="00177813">
      <w:pPr>
        <w:numPr>
          <w:ilvl w:val="0"/>
          <w:numId w:val="1"/>
        </w:numPr>
        <w:spacing w:after="0" w:line="240" w:lineRule="auto"/>
        <w:contextualSpacing/>
        <w:rPr>
          <w:rFonts w:cstheme="minorHAnsi"/>
          <w:sz w:val="24"/>
          <w:szCs w:val="24"/>
        </w:rPr>
      </w:pPr>
      <w:r w:rsidRPr="00177813">
        <w:rPr>
          <w:rFonts w:cstheme="minorHAnsi"/>
          <w:sz w:val="24"/>
          <w:szCs w:val="24"/>
        </w:rPr>
        <w:t>Staff experience, representation, or progression?</w:t>
      </w:r>
    </w:p>
    <w:p w14:paraId="1A29F7D5" w14:textId="5104E54F" w:rsidR="00646E06" w:rsidRPr="00646E06" w:rsidRDefault="00646E06" w:rsidP="00646E06">
      <w:pPr>
        <w:pStyle w:val="ListParagraph"/>
        <w:numPr>
          <w:ilvl w:val="1"/>
          <w:numId w:val="1"/>
        </w:numPr>
        <w:rPr>
          <w:rFonts w:cstheme="minorHAnsi"/>
          <w:sz w:val="24"/>
          <w:szCs w:val="24"/>
        </w:rPr>
      </w:pPr>
      <w:r w:rsidRPr="00646E06">
        <w:rPr>
          <w:rFonts w:cstheme="minorHAnsi"/>
          <w:sz w:val="24"/>
          <w:szCs w:val="24"/>
        </w:rPr>
        <w:t xml:space="preserve">This is the </w:t>
      </w:r>
      <w:r>
        <w:rPr>
          <w:rFonts w:cstheme="minorHAnsi"/>
          <w:sz w:val="24"/>
          <w:szCs w:val="24"/>
        </w:rPr>
        <w:t xml:space="preserve">most </w:t>
      </w:r>
      <w:r w:rsidRPr="00646E06">
        <w:rPr>
          <w:rFonts w:cstheme="minorHAnsi"/>
          <w:sz w:val="24"/>
          <w:szCs w:val="24"/>
        </w:rPr>
        <w:t>significant</w:t>
      </w:r>
      <w:r>
        <w:rPr>
          <w:rFonts w:cstheme="minorHAnsi"/>
          <w:sz w:val="24"/>
          <w:szCs w:val="24"/>
        </w:rPr>
        <w:t xml:space="preserve"> area of</w:t>
      </w:r>
      <w:r w:rsidRPr="00646E06">
        <w:rPr>
          <w:rFonts w:cstheme="minorHAnsi"/>
          <w:sz w:val="24"/>
          <w:szCs w:val="24"/>
        </w:rPr>
        <w:t xml:space="preserve"> impact. Some academic staff may see considerable changes to their allocations under the new model, particularly as the shift from “bundles” to teaching hours and tariff categories may alter how their contributions are valued. This could disproportionately affect staff with caring responsibilities, those working part-time, or staff from underrepresented groups who may already face challenges in workload distribution. However, the system is designed to </w:t>
      </w:r>
      <w:r w:rsidRPr="00646E06">
        <w:rPr>
          <w:rFonts w:cstheme="minorHAnsi"/>
          <w:sz w:val="24"/>
          <w:szCs w:val="24"/>
        </w:rPr>
        <w:lastRenderedPageBreak/>
        <w:t>improve fairness, transparency, and consistency, which should mitigate historic inequalities and create a clearer framework for progression and recognition</w:t>
      </w:r>
      <w:r>
        <w:rPr>
          <w:rFonts w:cstheme="minorHAnsi"/>
          <w:sz w:val="24"/>
          <w:szCs w:val="24"/>
        </w:rPr>
        <w:t xml:space="preserve"> in a more equitable way.</w:t>
      </w:r>
    </w:p>
    <w:p w14:paraId="75E1A865" w14:textId="77777777" w:rsidR="00177813" w:rsidRDefault="00177813" w:rsidP="00177813">
      <w:pPr>
        <w:spacing w:after="0" w:line="240" w:lineRule="auto"/>
        <w:ind w:left="-454"/>
        <w:rPr>
          <w:rFonts w:cstheme="minorHAnsi"/>
          <w:sz w:val="24"/>
          <w:szCs w:val="24"/>
        </w:rPr>
      </w:pPr>
      <w:r w:rsidRPr="00177813">
        <w:rPr>
          <w:rFonts w:cstheme="minorHAnsi"/>
          <w:sz w:val="24"/>
          <w:szCs w:val="24"/>
        </w:rPr>
        <w:t>Explain why you have made that assessment and plan your response.</w:t>
      </w:r>
    </w:p>
    <w:p w14:paraId="744006B7" w14:textId="0FA067B4" w:rsidR="00646E06" w:rsidRPr="00646E06" w:rsidRDefault="00646E06" w:rsidP="00646E06">
      <w:pPr>
        <w:pStyle w:val="ListParagraph"/>
        <w:numPr>
          <w:ilvl w:val="0"/>
          <w:numId w:val="4"/>
        </w:numPr>
        <w:spacing w:after="0" w:line="240" w:lineRule="auto"/>
        <w:ind w:left="986"/>
        <w:rPr>
          <w:rFonts w:cstheme="minorHAnsi"/>
          <w:sz w:val="24"/>
          <w:szCs w:val="24"/>
        </w:rPr>
      </w:pPr>
      <w:r w:rsidRPr="00646E06">
        <w:rPr>
          <w:rFonts w:cstheme="minorHAnsi"/>
          <w:sz w:val="24"/>
          <w:szCs w:val="24"/>
        </w:rPr>
        <w:t>Carry out equality monitoring of workload allocations by protected characteristic</w:t>
      </w:r>
      <w:r>
        <w:rPr>
          <w:rFonts w:cstheme="minorHAnsi"/>
          <w:sz w:val="24"/>
          <w:szCs w:val="24"/>
        </w:rPr>
        <w:t>.</w:t>
      </w:r>
    </w:p>
    <w:p w14:paraId="574E8973" w14:textId="12035FBE" w:rsidR="00646E06" w:rsidRPr="00646E06" w:rsidRDefault="00646E06" w:rsidP="00646E06">
      <w:pPr>
        <w:pStyle w:val="ListParagraph"/>
        <w:numPr>
          <w:ilvl w:val="0"/>
          <w:numId w:val="4"/>
        </w:numPr>
        <w:spacing w:after="0" w:line="240" w:lineRule="auto"/>
        <w:ind w:left="986"/>
        <w:rPr>
          <w:rFonts w:cstheme="minorHAnsi"/>
          <w:sz w:val="24"/>
          <w:szCs w:val="24"/>
        </w:rPr>
      </w:pPr>
      <w:r w:rsidRPr="00646E06">
        <w:rPr>
          <w:rFonts w:cstheme="minorHAnsi"/>
          <w:sz w:val="24"/>
          <w:szCs w:val="24"/>
        </w:rPr>
        <w:t xml:space="preserve">Provide </w:t>
      </w:r>
      <w:r>
        <w:rPr>
          <w:rFonts w:cstheme="minorHAnsi"/>
          <w:sz w:val="24"/>
          <w:szCs w:val="24"/>
        </w:rPr>
        <w:t xml:space="preserve">comprehensive and </w:t>
      </w:r>
      <w:r w:rsidRPr="00646E06">
        <w:rPr>
          <w:rFonts w:cstheme="minorHAnsi"/>
          <w:sz w:val="24"/>
          <w:szCs w:val="24"/>
        </w:rPr>
        <w:t>clear communications and training to staff and managers about the principles underpinning the model</w:t>
      </w:r>
      <w:r>
        <w:rPr>
          <w:rFonts w:cstheme="minorHAnsi"/>
          <w:sz w:val="24"/>
          <w:szCs w:val="24"/>
        </w:rPr>
        <w:t>, the benefits, the key changes and how this will directly impact them. A full comms plan is being executed which contacts different levels of stakeholder to share appropriate information at the right time.</w:t>
      </w:r>
    </w:p>
    <w:p w14:paraId="2B0FF04C" w14:textId="1719C2E5" w:rsidR="00646E06" w:rsidRPr="00646E06" w:rsidRDefault="00646E06" w:rsidP="00646E06">
      <w:pPr>
        <w:pStyle w:val="ListParagraph"/>
        <w:numPr>
          <w:ilvl w:val="0"/>
          <w:numId w:val="4"/>
        </w:numPr>
        <w:spacing w:after="0" w:line="240" w:lineRule="auto"/>
        <w:ind w:left="986"/>
        <w:rPr>
          <w:rFonts w:cstheme="minorHAnsi"/>
          <w:sz w:val="24"/>
          <w:szCs w:val="24"/>
        </w:rPr>
      </w:pPr>
      <w:r w:rsidRPr="00646E06">
        <w:rPr>
          <w:rFonts w:cstheme="minorHAnsi"/>
          <w:sz w:val="24"/>
          <w:szCs w:val="24"/>
        </w:rPr>
        <w:t xml:space="preserve">Use </w:t>
      </w:r>
      <w:r w:rsidR="007C132E">
        <w:rPr>
          <w:rFonts w:cstheme="minorHAnsi"/>
          <w:sz w:val="24"/>
          <w:szCs w:val="24"/>
        </w:rPr>
        <w:t xml:space="preserve">surveys and workshops, </w:t>
      </w:r>
      <w:r w:rsidRPr="00646E06">
        <w:rPr>
          <w:rFonts w:cstheme="minorHAnsi"/>
          <w:sz w:val="24"/>
          <w:szCs w:val="24"/>
        </w:rPr>
        <w:t>staff networks and consultation groups to gather feedback on perceived</w:t>
      </w:r>
      <w:r w:rsidR="007C132E">
        <w:rPr>
          <w:rFonts w:cstheme="minorHAnsi"/>
          <w:sz w:val="24"/>
          <w:szCs w:val="24"/>
        </w:rPr>
        <w:t xml:space="preserve"> and real</w:t>
      </w:r>
      <w:r w:rsidRPr="00646E06">
        <w:rPr>
          <w:rFonts w:cstheme="minorHAnsi"/>
          <w:sz w:val="24"/>
          <w:szCs w:val="24"/>
        </w:rPr>
        <w:t xml:space="preserve"> impacts</w:t>
      </w:r>
      <w:r w:rsidR="007C132E">
        <w:rPr>
          <w:rFonts w:cstheme="minorHAnsi"/>
          <w:sz w:val="24"/>
          <w:szCs w:val="24"/>
        </w:rPr>
        <w:t xml:space="preserve"> as the work progresses.</w:t>
      </w:r>
    </w:p>
    <w:p w14:paraId="2BE7D1E7" w14:textId="58208B5E" w:rsidR="00646E06" w:rsidRPr="00646E06" w:rsidRDefault="00646E06" w:rsidP="00646E06">
      <w:pPr>
        <w:pStyle w:val="ListParagraph"/>
        <w:numPr>
          <w:ilvl w:val="0"/>
          <w:numId w:val="4"/>
        </w:numPr>
        <w:spacing w:after="0" w:line="240" w:lineRule="auto"/>
        <w:ind w:left="986"/>
        <w:rPr>
          <w:rFonts w:cstheme="minorHAnsi"/>
          <w:sz w:val="24"/>
          <w:szCs w:val="24"/>
        </w:rPr>
      </w:pPr>
      <w:r w:rsidRPr="00646E06">
        <w:rPr>
          <w:rFonts w:cstheme="minorHAnsi"/>
          <w:sz w:val="24"/>
          <w:szCs w:val="24"/>
        </w:rPr>
        <w:t>Put in place escalation routes to raise workload concerns</w:t>
      </w:r>
      <w:r w:rsidR="007C132E">
        <w:rPr>
          <w:rFonts w:cstheme="minorHAnsi"/>
          <w:sz w:val="24"/>
          <w:szCs w:val="24"/>
        </w:rPr>
        <w:t>, including building workload model review change opportunities into the governance structure.</w:t>
      </w:r>
    </w:p>
    <w:p w14:paraId="32337C08" w14:textId="14DAF2B8" w:rsidR="00646E06" w:rsidRPr="00646E06" w:rsidRDefault="00646E06" w:rsidP="00646E06">
      <w:pPr>
        <w:pStyle w:val="ListParagraph"/>
        <w:numPr>
          <w:ilvl w:val="0"/>
          <w:numId w:val="4"/>
        </w:numPr>
        <w:spacing w:after="0" w:line="240" w:lineRule="auto"/>
        <w:ind w:left="986"/>
        <w:rPr>
          <w:rFonts w:cstheme="minorHAnsi"/>
          <w:sz w:val="24"/>
          <w:szCs w:val="24"/>
        </w:rPr>
      </w:pPr>
      <w:r w:rsidRPr="00646E06">
        <w:rPr>
          <w:rFonts w:cstheme="minorHAnsi"/>
          <w:sz w:val="24"/>
          <w:szCs w:val="24"/>
        </w:rPr>
        <w:t>Commit to reviewing the workload model after implementation to ensure no group is disproportionately disadvantaged.</w:t>
      </w:r>
    </w:p>
    <w:p w14:paraId="62066A7F" w14:textId="77777777" w:rsidR="00CC389D" w:rsidRDefault="00CC389D" w:rsidP="00CC389D">
      <w:pPr>
        <w:spacing w:after="200" w:line="276" w:lineRule="auto"/>
        <w:jc w:val="center"/>
        <w:rPr>
          <w:rFonts w:cstheme="minorHAnsi"/>
          <w:b/>
          <w:sz w:val="24"/>
          <w:szCs w:val="24"/>
        </w:rPr>
      </w:pPr>
    </w:p>
    <w:p w14:paraId="2BA6BFCA" w14:textId="0B309665"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14:paraId="1D21CD8D" w14:textId="4CD7819D" w:rsidR="00177813" w:rsidRDefault="00CC389D" w:rsidP="00CC38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14:paraId="029437E2" w14:textId="77777777" w:rsidR="00CC389D" w:rsidRPr="00177813" w:rsidRDefault="00CC389D" w:rsidP="00CC389D">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2030"/>
        <w:gridCol w:w="2649"/>
        <w:gridCol w:w="2551"/>
        <w:gridCol w:w="2066"/>
        <w:gridCol w:w="1775"/>
        <w:gridCol w:w="1014"/>
        <w:gridCol w:w="1521"/>
        <w:gridCol w:w="1650"/>
      </w:tblGrid>
      <w:tr w:rsidR="001A278C" w:rsidRPr="00177813" w14:paraId="0B397A6D" w14:textId="77777777" w:rsidTr="001A278C">
        <w:trPr>
          <w:trHeight w:val="420"/>
        </w:trPr>
        <w:tc>
          <w:tcPr>
            <w:tcW w:w="2030" w:type="dxa"/>
          </w:tcPr>
          <w:p w14:paraId="046F4667" w14:textId="77777777" w:rsidR="001A278C" w:rsidRPr="00177813" w:rsidRDefault="001A278C" w:rsidP="00177813">
            <w:pPr>
              <w:spacing w:after="200" w:line="276" w:lineRule="auto"/>
              <w:rPr>
                <w:rFonts w:asciiTheme="minorHAnsi" w:hAnsiTheme="minorHAnsi" w:cstheme="minorHAnsi"/>
                <w:i/>
                <w:sz w:val="24"/>
                <w:szCs w:val="24"/>
              </w:rPr>
            </w:pPr>
          </w:p>
        </w:tc>
        <w:tc>
          <w:tcPr>
            <w:tcW w:w="2649" w:type="dxa"/>
          </w:tcPr>
          <w:p w14:paraId="2F2BA2A1" w14:textId="3FB6A9C2" w:rsidR="001A278C" w:rsidRPr="001A278C" w:rsidRDefault="001A278C" w:rsidP="001A278C">
            <w:pPr>
              <w:spacing w:after="20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Possible Positive   Impact on Groups              </w:t>
            </w:r>
            <w:r>
              <w:rPr>
                <w:rFonts w:asciiTheme="minorHAnsi" w:hAnsiTheme="minorHAnsi" w:cstheme="minorHAnsi"/>
                <w:bCs/>
                <w:sz w:val="24"/>
                <w:szCs w:val="24"/>
              </w:rPr>
              <w:t>Include relevant data if possible</w:t>
            </w:r>
          </w:p>
        </w:tc>
        <w:tc>
          <w:tcPr>
            <w:tcW w:w="2551" w:type="dxa"/>
          </w:tcPr>
          <w:p w14:paraId="73616083" w14:textId="33E8C882" w:rsidR="001A278C" w:rsidRPr="00177813" w:rsidRDefault="001A278C" w:rsidP="00177813">
            <w:pPr>
              <w:spacing w:after="200" w:line="276" w:lineRule="auto"/>
              <w:jc w:val="center"/>
              <w:rPr>
                <w:rFonts w:cstheme="minorHAnsi"/>
                <w:b/>
                <w:sz w:val="24"/>
                <w:szCs w:val="24"/>
              </w:rPr>
            </w:pPr>
            <w:r>
              <w:rPr>
                <w:rFonts w:asciiTheme="minorHAnsi" w:hAnsiTheme="minorHAnsi" w:cstheme="minorHAnsi"/>
                <w:b/>
                <w:sz w:val="24"/>
                <w:szCs w:val="24"/>
              </w:rPr>
              <w:t xml:space="preserve">Possible Negative Impact on Groups </w:t>
            </w:r>
            <w:r>
              <w:rPr>
                <w:rFonts w:asciiTheme="minorHAnsi" w:hAnsiTheme="minorHAnsi" w:cstheme="minorHAnsi"/>
                <w:bCs/>
                <w:sz w:val="24"/>
                <w:szCs w:val="24"/>
              </w:rPr>
              <w:t>Include relevant data if possible</w:t>
            </w:r>
          </w:p>
        </w:tc>
        <w:tc>
          <w:tcPr>
            <w:tcW w:w="2066" w:type="dxa"/>
          </w:tcPr>
          <w:p w14:paraId="7C0403EE" w14:textId="18042DE5"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Actions Required</w:t>
            </w:r>
          </w:p>
        </w:tc>
        <w:tc>
          <w:tcPr>
            <w:tcW w:w="1775" w:type="dxa"/>
          </w:tcPr>
          <w:p w14:paraId="4117C81B"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Responsible Person</w:t>
            </w:r>
          </w:p>
        </w:tc>
        <w:tc>
          <w:tcPr>
            <w:tcW w:w="1014" w:type="dxa"/>
          </w:tcPr>
          <w:p w14:paraId="48649D62"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Target date</w:t>
            </w:r>
          </w:p>
        </w:tc>
        <w:tc>
          <w:tcPr>
            <w:tcW w:w="1521" w:type="dxa"/>
          </w:tcPr>
          <w:p w14:paraId="56F68FD1"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Success indicators</w:t>
            </w:r>
          </w:p>
        </w:tc>
        <w:tc>
          <w:tcPr>
            <w:tcW w:w="1650" w:type="dxa"/>
          </w:tcPr>
          <w:p w14:paraId="4BF82F40"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Progress to date</w:t>
            </w:r>
          </w:p>
        </w:tc>
      </w:tr>
      <w:tr w:rsidR="001A278C" w:rsidRPr="00177813" w14:paraId="72D9730B" w14:textId="77777777" w:rsidTr="001A278C">
        <w:trPr>
          <w:trHeight w:val="570"/>
        </w:trPr>
        <w:tc>
          <w:tcPr>
            <w:tcW w:w="2030" w:type="dxa"/>
          </w:tcPr>
          <w:p w14:paraId="371A68B6"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All</w:t>
            </w:r>
            <w:r w:rsidRPr="00177813">
              <w:rPr>
                <w:rFonts w:asciiTheme="minorHAnsi" w:hAnsiTheme="minorHAnsi" w:cstheme="minorHAnsi"/>
                <w:sz w:val="24"/>
                <w:szCs w:val="24"/>
              </w:rPr>
              <w:t xml:space="preserve"> (possible impacts affecting many groups)</w:t>
            </w:r>
          </w:p>
        </w:tc>
        <w:tc>
          <w:tcPr>
            <w:tcW w:w="2649" w:type="dxa"/>
          </w:tcPr>
          <w:p w14:paraId="0E1C7EC2" w14:textId="47022880" w:rsidR="001A278C" w:rsidRPr="00266E0E" w:rsidRDefault="00125854" w:rsidP="00177813">
            <w:pPr>
              <w:spacing w:after="200" w:line="276" w:lineRule="auto"/>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Greater transparency and consistency in workload allocation</w:t>
            </w:r>
            <w:r w:rsidR="0053345F">
              <w:rPr>
                <w:rFonts w:ascii="Segoe UI" w:hAnsi="Segoe UI" w:cs="Segoe UI"/>
                <w:color w:val="0D0D0D"/>
                <w:sz w:val="21"/>
                <w:szCs w:val="21"/>
                <w:shd w:val="clear" w:color="auto" w:fill="FFFFFF"/>
              </w:rPr>
              <w:t xml:space="preserve"> creating a </w:t>
            </w:r>
            <w:r>
              <w:rPr>
                <w:rFonts w:ascii="Segoe UI" w:hAnsi="Segoe UI" w:cs="Segoe UI"/>
                <w:color w:val="0D0D0D"/>
                <w:sz w:val="21"/>
                <w:szCs w:val="21"/>
                <w:shd w:val="clear" w:color="auto" w:fill="FFFFFF"/>
              </w:rPr>
              <w:t xml:space="preserve">fairer </w:t>
            </w:r>
            <w:r>
              <w:rPr>
                <w:rFonts w:ascii="Segoe UI" w:hAnsi="Segoe UI" w:cs="Segoe UI"/>
                <w:color w:val="0D0D0D"/>
                <w:sz w:val="21"/>
                <w:szCs w:val="21"/>
                <w:shd w:val="clear" w:color="auto" w:fill="FFFFFF"/>
              </w:rPr>
              <w:lastRenderedPageBreak/>
              <w:t>distribution of duties across staff.</w:t>
            </w:r>
          </w:p>
        </w:tc>
        <w:tc>
          <w:tcPr>
            <w:tcW w:w="2551" w:type="dxa"/>
          </w:tcPr>
          <w:p w14:paraId="67770EFB" w14:textId="6B267AF6" w:rsidR="001A278C" w:rsidRPr="00266E0E" w:rsidRDefault="0053345F" w:rsidP="00177813">
            <w:pPr>
              <w:spacing w:after="200" w:line="276" w:lineRule="auto"/>
              <w:rPr>
                <w:rFonts w:ascii="Segoe UI" w:hAnsi="Segoe UI" w:cs="Segoe UI"/>
                <w:color w:val="0D0D0D"/>
                <w:sz w:val="21"/>
                <w:szCs w:val="21"/>
                <w:shd w:val="clear" w:color="auto" w:fill="FFFFFF"/>
              </w:rPr>
            </w:pPr>
            <w:r w:rsidRPr="000660A5">
              <w:rPr>
                <w:rFonts w:ascii="Segoe UI" w:hAnsi="Segoe UI" w:cs="Segoe UI"/>
                <w:color w:val="0D0D0D"/>
                <w:sz w:val="21"/>
                <w:szCs w:val="21"/>
                <w:shd w:val="clear" w:color="auto" w:fill="FFFFFF"/>
              </w:rPr>
              <w:lastRenderedPageBreak/>
              <w:t xml:space="preserve">Uncertainty exactly what the impact would be on staff members. Anxiety about fairness and equity of allocations, </w:t>
            </w:r>
            <w:r w:rsidRPr="000660A5">
              <w:rPr>
                <w:rFonts w:ascii="Segoe UI" w:hAnsi="Segoe UI" w:cs="Segoe UI"/>
                <w:color w:val="0D0D0D"/>
                <w:sz w:val="21"/>
                <w:szCs w:val="21"/>
                <w:shd w:val="clear" w:color="auto" w:fill="FFFFFF"/>
              </w:rPr>
              <w:lastRenderedPageBreak/>
              <w:t>perception of bias if transparency is not clear.</w:t>
            </w:r>
            <w:r w:rsidR="0004358E">
              <w:rPr>
                <w:rFonts w:ascii="Segoe UI" w:hAnsi="Segoe UI" w:cs="Segoe UI"/>
                <w:color w:val="0D0D0D"/>
                <w:sz w:val="21"/>
                <w:szCs w:val="21"/>
                <w:shd w:val="clear" w:color="auto" w:fill="FFFFFF"/>
              </w:rPr>
              <w:t xml:space="preserve"> Change can be a source of stress for those who may have a level of uncertainty on their personal impacts due to the changes.</w:t>
            </w:r>
          </w:p>
        </w:tc>
        <w:tc>
          <w:tcPr>
            <w:tcW w:w="2066" w:type="dxa"/>
          </w:tcPr>
          <w:p w14:paraId="239F97CB" w14:textId="77777777" w:rsidR="00B02185" w:rsidRDefault="00B91B8B" w:rsidP="00177813">
            <w:pPr>
              <w:spacing w:after="200" w:line="276" w:lineRule="auto"/>
              <w:rPr>
                <w:rFonts w:ascii="Segoe UI" w:hAnsi="Segoe UI" w:cs="Segoe UI"/>
                <w:color w:val="0D0D0D"/>
                <w:sz w:val="21"/>
                <w:szCs w:val="21"/>
                <w:shd w:val="clear" w:color="auto" w:fill="FFFFFF"/>
              </w:rPr>
            </w:pPr>
            <w:r w:rsidRPr="00C10016">
              <w:rPr>
                <w:rFonts w:ascii="Segoe UI" w:hAnsi="Segoe UI" w:cs="Segoe UI"/>
                <w:color w:val="0D0D0D"/>
                <w:sz w:val="21"/>
                <w:szCs w:val="21"/>
                <w:shd w:val="clear" w:color="auto" w:fill="FFFFFF"/>
              </w:rPr>
              <w:lastRenderedPageBreak/>
              <w:t xml:space="preserve">Engage staff in a range of activity in relation to determining and assigning value, </w:t>
            </w:r>
            <w:r w:rsidRPr="00C10016">
              <w:rPr>
                <w:rFonts w:ascii="Segoe UI" w:hAnsi="Segoe UI" w:cs="Segoe UI"/>
                <w:color w:val="0D0D0D"/>
                <w:sz w:val="21"/>
                <w:szCs w:val="21"/>
                <w:shd w:val="clear" w:color="auto" w:fill="FFFFFF"/>
              </w:rPr>
              <w:lastRenderedPageBreak/>
              <w:t>including but not limited to surveys, workshops and university wide open forums.</w:t>
            </w:r>
            <w:r w:rsidR="00B02185">
              <w:rPr>
                <w:rFonts w:ascii="Segoe UI" w:hAnsi="Segoe UI" w:cs="Segoe UI"/>
                <w:color w:val="0D0D0D"/>
                <w:sz w:val="21"/>
                <w:szCs w:val="21"/>
                <w:shd w:val="clear" w:color="auto" w:fill="FFFFFF"/>
              </w:rPr>
              <w:t xml:space="preserve"> </w:t>
            </w:r>
          </w:p>
          <w:p w14:paraId="69A70F50" w14:textId="77777777" w:rsidR="00B02185" w:rsidRDefault="0053345F"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Clear comms campaign emphasising key changes, reasoning behind these and worked examples to help people understand personal impact.</w:t>
            </w:r>
          </w:p>
          <w:p w14:paraId="46FF5DE4" w14:textId="5F47F429" w:rsidR="001A278C" w:rsidRPr="00266E0E" w:rsidRDefault="0053345F"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Building model review </w:t>
            </w:r>
            <w:r w:rsidR="00884045">
              <w:rPr>
                <w:rFonts w:ascii="Segoe UI" w:hAnsi="Segoe UI" w:cs="Segoe UI"/>
                <w:color w:val="0D0D0D"/>
                <w:sz w:val="21"/>
                <w:szCs w:val="21"/>
                <w:shd w:val="clear" w:color="auto" w:fill="FFFFFF"/>
              </w:rPr>
              <w:t>in</w:t>
            </w:r>
            <w:r w:rsidRPr="00266E0E">
              <w:rPr>
                <w:rFonts w:ascii="Segoe UI" w:hAnsi="Segoe UI" w:cs="Segoe UI"/>
                <w:color w:val="0D0D0D"/>
                <w:sz w:val="21"/>
                <w:szCs w:val="21"/>
                <w:shd w:val="clear" w:color="auto" w:fill="FFFFFF"/>
              </w:rPr>
              <w:t>to the governance</w:t>
            </w:r>
            <w:r w:rsidR="00ED7BD0">
              <w:rPr>
                <w:rFonts w:ascii="Segoe UI" w:hAnsi="Segoe UI" w:cs="Segoe UI"/>
                <w:color w:val="0D0D0D"/>
                <w:sz w:val="21"/>
                <w:szCs w:val="21"/>
                <w:shd w:val="clear" w:color="auto" w:fill="FFFFFF"/>
              </w:rPr>
              <w:t>,</w:t>
            </w:r>
            <w:r w:rsidRPr="00266E0E">
              <w:rPr>
                <w:rFonts w:ascii="Segoe UI" w:hAnsi="Segoe UI" w:cs="Segoe UI"/>
                <w:color w:val="0D0D0D"/>
                <w:sz w:val="21"/>
                <w:szCs w:val="21"/>
                <w:shd w:val="clear" w:color="auto" w:fill="FFFFFF"/>
              </w:rPr>
              <w:t xml:space="preserve"> as the model will need to be continually improved based on feedback to be most effective.</w:t>
            </w:r>
          </w:p>
        </w:tc>
        <w:tc>
          <w:tcPr>
            <w:tcW w:w="1775" w:type="dxa"/>
          </w:tcPr>
          <w:p w14:paraId="4DC1DFE0" w14:textId="6D22DA70" w:rsidR="001A278C" w:rsidRPr="00266E0E" w:rsidRDefault="0053345F"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Project Lead, HR, Comms</w:t>
            </w:r>
          </w:p>
        </w:tc>
        <w:tc>
          <w:tcPr>
            <w:tcW w:w="1014" w:type="dxa"/>
          </w:tcPr>
          <w:p w14:paraId="21B66B5E" w14:textId="2D1C0A70" w:rsidR="001A278C" w:rsidRPr="00266E0E" w:rsidRDefault="0053345F"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Go-Live</w:t>
            </w:r>
          </w:p>
        </w:tc>
        <w:tc>
          <w:tcPr>
            <w:tcW w:w="1521" w:type="dxa"/>
          </w:tcPr>
          <w:p w14:paraId="6E41CA90" w14:textId="76046D25" w:rsidR="001A278C" w:rsidRPr="00266E0E" w:rsidRDefault="0053345F"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Staff feedback indicates allocations are </w:t>
            </w:r>
            <w:r w:rsidRPr="00266E0E">
              <w:rPr>
                <w:rFonts w:ascii="Segoe UI" w:hAnsi="Segoe UI" w:cs="Segoe UI"/>
                <w:color w:val="0D0D0D"/>
                <w:sz w:val="21"/>
                <w:szCs w:val="21"/>
                <w:shd w:val="clear" w:color="auto" w:fill="FFFFFF"/>
              </w:rPr>
              <w:lastRenderedPageBreak/>
              <w:t>understood, low number of informal grievances. Few formal challenges.</w:t>
            </w:r>
          </w:p>
        </w:tc>
        <w:tc>
          <w:tcPr>
            <w:tcW w:w="1650" w:type="dxa"/>
          </w:tcPr>
          <w:p w14:paraId="6D04F936" w14:textId="713AF41A" w:rsidR="001A278C" w:rsidRPr="00266E0E" w:rsidRDefault="000660A5"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 xml:space="preserve">Comms plan is being developed, currently almost ready </w:t>
            </w:r>
            <w:r w:rsidRPr="00266E0E">
              <w:rPr>
                <w:rFonts w:ascii="Segoe UI" w:hAnsi="Segoe UI" w:cs="Segoe UI"/>
                <w:color w:val="0D0D0D"/>
                <w:sz w:val="21"/>
                <w:szCs w:val="21"/>
                <w:shd w:val="clear" w:color="auto" w:fill="FFFFFF"/>
              </w:rPr>
              <w:lastRenderedPageBreak/>
              <w:t>to send out initial surveys.</w:t>
            </w:r>
          </w:p>
        </w:tc>
      </w:tr>
      <w:tr w:rsidR="001A278C" w:rsidRPr="00177813" w14:paraId="274B7753" w14:textId="77777777" w:rsidTr="001A278C">
        <w:trPr>
          <w:trHeight w:val="537"/>
        </w:trPr>
        <w:tc>
          <w:tcPr>
            <w:tcW w:w="2030" w:type="dxa"/>
          </w:tcPr>
          <w:p w14:paraId="1B1F5287" w14:textId="77777777" w:rsidR="001A278C" w:rsidRPr="00177813" w:rsidRDefault="001A278C" w:rsidP="00177813">
            <w:pPr>
              <w:tabs>
                <w:tab w:val="center" w:pos="1097"/>
              </w:tabs>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lastRenderedPageBreak/>
              <w:t xml:space="preserve">Age </w:t>
            </w:r>
            <w:r w:rsidRPr="00177813">
              <w:rPr>
                <w:rFonts w:asciiTheme="minorHAnsi" w:hAnsiTheme="minorHAnsi" w:cstheme="minorHAnsi"/>
                <w:sz w:val="24"/>
                <w:szCs w:val="24"/>
              </w:rPr>
              <w:t>(older people, younger people)</w:t>
            </w:r>
          </w:p>
        </w:tc>
        <w:tc>
          <w:tcPr>
            <w:tcW w:w="2649" w:type="dxa"/>
          </w:tcPr>
          <w:p w14:paraId="4BF281F5" w14:textId="493894FA" w:rsidR="001A278C" w:rsidRPr="00266E0E" w:rsidRDefault="003728E2"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Early career academics may benefit from fairer workload protection and older staff may benefit </w:t>
            </w:r>
            <w:r w:rsidRPr="00266E0E">
              <w:rPr>
                <w:rFonts w:ascii="Segoe UI" w:hAnsi="Segoe UI" w:cs="Segoe UI"/>
                <w:color w:val="0D0D0D"/>
                <w:sz w:val="21"/>
                <w:szCs w:val="21"/>
                <w:shd w:val="clear" w:color="auto" w:fill="FFFFFF"/>
              </w:rPr>
              <w:lastRenderedPageBreak/>
              <w:t>from clarity around roles</w:t>
            </w:r>
            <w:r w:rsidR="00E20ECC" w:rsidRPr="00266E0E">
              <w:rPr>
                <w:rFonts w:ascii="Segoe UI" w:hAnsi="Segoe UI" w:cs="Segoe UI"/>
                <w:color w:val="0D0D0D"/>
                <w:sz w:val="21"/>
                <w:szCs w:val="21"/>
                <w:shd w:val="clear" w:color="auto" w:fill="FFFFFF"/>
              </w:rPr>
              <w:t xml:space="preserve"> and expectations.</w:t>
            </w:r>
          </w:p>
        </w:tc>
        <w:tc>
          <w:tcPr>
            <w:tcW w:w="2551" w:type="dxa"/>
          </w:tcPr>
          <w:p w14:paraId="0E446C33" w14:textId="431EB7ED" w:rsidR="001A278C" w:rsidRPr="00266E0E" w:rsidRDefault="003728E2"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Older staff may find new system digitally challenging</w:t>
            </w:r>
            <w:r w:rsidR="0004358E">
              <w:rPr>
                <w:rFonts w:ascii="Segoe UI" w:hAnsi="Segoe UI" w:cs="Segoe UI"/>
                <w:color w:val="0D0D0D"/>
                <w:sz w:val="21"/>
                <w:szCs w:val="21"/>
                <w:shd w:val="clear" w:color="auto" w:fill="FFFFFF"/>
              </w:rPr>
              <w:t>. E</w:t>
            </w:r>
            <w:r w:rsidRPr="00266E0E">
              <w:rPr>
                <w:rFonts w:ascii="Segoe UI" w:hAnsi="Segoe UI" w:cs="Segoe UI"/>
                <w:color w:val="0D0D0D"/>
                <w:sz w:val="21"/>
                <w:szCs w:val="21"/>
                <w:shd w:val="clear" w:color="auto" w:fill="FFFFFF"/>
              </w:rPr>
              <w:t xml:space="preserve">arly career staff may perceive model </w:t>
            </w:r>
            <w:r w:rsidRPr="00266E0E">
              <w:rPr>
                <w:rFonts w:ascii="Segoe UI" w:hAnsi="Segoe UI" w:cs="Segoe UI"/>
                <w:color w:val="0D0D0D"/>
                <w:sz w:val="21"/>
                <w:szCs w:val="21"/>
                <w:shd w:val="clear" w:color="auto" w:fill="FFFFFF"/>
              </w:rPr>
              <w:lastRenderedPageBreak/>
              <w:t>as limiting opportunities to take on more role elements.</w:t>
            </w:r>
          </w:p>
        </w:tc>
        <w:tc>
          <w:tcPr>
            <w:tcW w:w="2066" w:type="dxa"/>
          </w:tcPr>
          <w:p w14:paraId="73448FB5" w14:textId="1B1D42D9" w:rsidR="001A278C" w:rsidRPr="00266E0E" w:rsidRDefault="00E20ECC" w:rsidP="0004358E">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Provide mixed-media training (video, drop-ins, written guides)</w:t>
            </w:r>
            <w:r w:rsidR="0004358E">
              <w:rPr>
                <w:rFonts w:ascii="Segoe UI" w:hAnsi="Segoe UI" w:cs="Segoe UI"/>
                <w:color w:val="0D0D0D"/>
                <w:sz w:val="21"/>
                <w:szCs w:val="21"/>
                <w:shd w:val="clear" w:color="auto" w:fill="FFFFFF"/>
              </w:rPr>
              <w:t xml:space="preserve">. For </w:t>
            </w:r>
            <w:r w:rsidR="0004358E">
              <w:rPr>
                <w:rFonts w:ascii="Segoe UI" w:hAnsi="Segoe UI" w:cs="Segoe UI"/>
                <w:color w:val="0D0D0D"/>
                <w:sz w:val="21"/>
                <w:szCs w:val="21"/>
                <w:shd w:val="clear" w:color="auto" w:fill="FFFFFF"/>
              </w:rPr>
              <w:lastRenderedPageBreak/>
              <w:t>early career staff, line managers and supervisors will have a responsibility to set expectations and build support networks.</w:t>
            </w:r>
            <w:r w:rsidR="00D250C4" w:rsidRPr="00C10016">
              <w:rPr>
                <w:rFonts w:ascii="Segoe UI" w:hAnsi="Segoe UI" w:cs="Segoe UI"/>
                <w:color w:val="0D0D0D"/>
                <w:sz w:val="21"/>
                <w:szCs w:val="21"/>
                <w:shd w:val="clear" w:color="auto" w:fill="FFFFFF"/>
              </w:rPr>
              <w:t xml:space="preserve"> </w:t>
            </w:r>
          </w:p>
        </w:tc>
        <w:tc>
          <w:tcPr>
            <w:tcW w:w="1775" w:type="dxa"/>
          </w:tcPr>
          <w:p w14:paraId="10F73C75" w14:textId="77777777" w:rsidR="001A278C" w:rsidRDefault="00E20EC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HR,</w:t>
            </w:r>
            <w:r w:rsidR="0004358E">
              <w:rPr>
                <w:rFonts w:ascii="Segoe UI" w:hAnsi="Segoe UI" w:cs="Segoe UI"/>
                <w:color w:val="0D0D0D"/>
                <w:sz w:val="21"/>
                <w:szCs w:val="21"/>
                <w:shd w:val="clear" w:color="auto" w:fill="FFFFFF"/>
              </w:rPr>
              <w:t xml:space="preserve"> Academic Careers </w:t>
            </w:r>
            <w:r w:rsidR="0004358E">
              <w:rPr>
                <w:rFonts w:ascii="Segoe UI" w:hAnsi="Segoe UI" w:cs="Segoe UI"/>
                <w:color w:val="0D0D0D"/>
                <w:sz w:val="21"/>
                <w:szCs w:val="21"/>
                <w:shd w:val="clear" w:color="auto" w:fill="FFFFFF"/>
              </w:rPr>
              <w:lastRenderedPageBreak/>
              <w:t>Framework Team.</w:t>
            </w:r>
          </w:p>
          <w:p w14:paraId="284A174E" w14:textId="0EB367F2" w:rsidR="00C10016" w:rsidRPr="00266E0E" w:rsidRDefault="00C10016" w:rsidP="00177813">
            <w:pPr>
              <w:spacing w:after="200" w:line="276" w:lineRule="auto"/>
              <w:rPr>
                <w:rFonts w:ascii="Segoe UI" w:hAnsi="Segoe UI" w:cs="Segoe UI"/>
                <w:color w:val="0D0D0D"/>
                <w:sz w:val="21"/>
                <w:szCs w:val="21"/>
                <w:shd w:val="clear" w:color="auto" w:fill="FFFFFF"/>
              </w:rPr>
            </w:pPr>
          </w:p>
        </w:tc>
        <w:tc>
          <w:tcPr>
            <w:tcW w:w="1014" w:type="dxa"/>
          </w:tcPr>
          <w:p w14:paraId="3D6CCB40" w14:textId="5CCEE850" w:rsidR="001A278C" w:rsidRPr="00266E0E" w:rsidRDefault="00E20EC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Pre-</w:t>
            </w:r>
            <w:r w:rsidR="004464EB" w:rsidRPr="00266E0E">
              <w:rPr>
                <w:rFonts w:ascii="Segoe UI" w:hAnsi="Segoe UI" w:cs="Segoe UI"/>
                <w:color w:val="0D0D0D"/>
                <w:sz w:val="21"/>
                <w:szCs w:val="21"/>
                <w:shd w:val="clear" w:color="auto" w:fill="FFFFFF"/>
              </w:rPr>
              <w:t>launch</w:t>
            </w:r>
          </w:p>
        </w:tc>
        <w:tc>
          <w:tcPr>
            <w:tcW w:w="1521" w:type="dxa"/>
          </w:tcPr>
          <w:p w14:paraId="11BE2DC5" w14:textId="05B8D39E" w:rsidR="001A278C" w:rsidRPr="00266E0E" w:rsidRDefault="00E20EC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Training attendance, staff providing </w:t>
            </w:r>
            <w:r w:rsidRPr="00266E0E">
              <w:rPr>
                <w:rFonts w:ascii="Segoe UI" w:hAnsi="Segoe UI" w:cs="Segoe UI"/>
                <w:color w:val="0D0D0D"/>
                <w:sz w:val="21"/>
                <w:szCs w:val="21"/>
                <w:shd w:val="clear" w:color="auto" w:fill="FFFFFF"/>
              </w:rPr>
              <w:lastRenderedPageBreak/>
              <w:t>positive feedback on usability, staff numbers making allocations correctly within the period.</w:t>
            </w:r>
          </w:p>
        </w:tc>
        <w:tc>
          <w:tcPr>
            <w:tcW w:w="1650" w:type="dxa"/>
          </w:tcPr>
          <w:p w14:paraId="47EE9809" w14:textId="3443E813" w:rsidR="001A278C" w:rsidRPr="00266E0E" w:rsidRDefault="00E20EC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lastRenderedPageBreak/>
              <w:t>Training plan under development.</w:t>
            </w:r>
          </w:p>
        </w:tc>
      </w:tr>
      <w:tr w:rsidR="001A278C" w:rsidRPr="00177813" w14:paraId="6ABB1214" w14:textId="77777777" w:rsidTr="001A278C">
        <w:trPr>
          <w:trHeight w:val="532"/>
        </w:trPr>
        <w:tc>
          <w:tcPr>
            <w:tcW w:w="2030" w:type="dxa"/>
          </w:tcPr>
          <w:p w14:paraId="152D6DC4"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Disability</w:t>
            </w:r>
            <w:r w:rsidRPr="00177813">
              <w:rPr>
                <w:rFonts w:asciiTheme="minorHAnsi" w:hAnsiTheme="minorHAnsi" w:cstheme="minorHAnsi"/>
                <w:sz w:val="24"/>
                <w:szCs w:val="24"/>
              </w:rPr>
              <w:t>, including mental health and non-visible disabilities</w:t>
            </w:r>
          </w:p>
        </w:tc>
        <w:tc>
          <w:tcPr>
            <w:tcW w:w="2649" w:type="dxa"/>
          </w:tcPr>
          <w:p w14:paraId="443AE639" w14:textId="7650A659" w:rsidR="001A278C" w:rsidRPr="00266E0E" w:rsidRDefault="00E20EC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Model allows for capturing reasonable adjustments</w:t>
            </w:r>
            <w:r w:rsidR="00E42103">
              <w:rPr>
                <w:rFonts w:ascii="Segoe UI" w:hAnsi="Segoe UI" w:cs="Segoe UI"/>
                <w:color w:val="0D0D0D"/>
                <w:sz w:val="21"/>
                <w:szCs w:val="21"/>
                <w:shd w:val="clear" w:color="auto" w:fill="FFFFFF"/>
              </w:rPr>
              <w:t>. I</w:t>
            </w:r>
            <w:r w:rsidRPr="00266E0E">
              <w:rPr>
                <w:rFonts w:ascii="Segoe UI" w:hAnsi="Segoe UI" w:cs="Segoe UI"/>
                <w:color w:val="0D0D0D"/>
                <w:sz w:val="21"/>
                <w:szCs w:val="21"/>
                <w:shd w:val="clear" w:color="auto" w:fill="FFFFFF"/>
              </w:rPr>
              <w:t>mproved consistency in re-allocations.</w:t>
            </w:r>
          </w:p>
        </w:tc>
        <w:tc>
          <w:tcPr>
            <w:tcW w:w="2551" w:type="dxa"/>
          </w:tcPr>
          <w:p w14:paraId="42A7F404" w14:textId="78DEDB0A" w:rsidR="001A278C" w:rsidRPr="00266E0E" w:rsidRDefault="00E20EC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Risk that adjustments are not recognised or hours are not allocated fairly, potential </w:t>
            </w:r>
            <w:r w:rsidR="00CB17FC" w:rsidRPr="00266E0E">
              <w:rPr>
                <w:rFonts w:ascii="Segoe UI" w:hAnsi="Segoe UI" w:cs="Segoe UI"/>
                <w:color w:val="0D0D0D"/>
                <w:sz w:val="21"/>
                <w:szCs w:val="21"/>
                <w:shd w:val="clear" w:color="auto" w:fill="FFFFFF"/>
              </w:rPr>
              <w:t>backlash</w:t>
            </w:r>
            <w:r w:rsidRPr="00266E0E">
              <w:rPr>
                <w:rFonts w:ascii="Segoe UI" w:hAnsi="Segoe UI" w:cs="Segoe UI"/>
                <w:color w:val="0D0D0D"/>
                <w:sz w:val="21"/>
                <w:szCs w:val="21"/>
                <w:shd w:val="clear" w:color="auto" w:fill="FFFFFF"/>
              </w:rPr>
              <w:t xml:space="preserve"> if not transparent around how we </w:t>
            </w:r>
            <w:r w:rsidR="00CB17FC" w:rsidRPr="00266E0E">
              <w:rPr>
                <w:rFonts w:ascii="Segoe UI" w:hAnsi="Segoe UI" w:cs="Segoe UI"/>
                <w:color w:val="0D0D0D"/>
                <w:sz w:val="21"/>
                <w:szCs w:val="21"/>
                <w:shd w:val="clear" w:color="auto" w:fill="FFFFFF"/>
              </w:rPr>
              <w:t>consider</w:t>
            </w:r>
            <w:r w:rsidRPr="00266E0E">
              <w:rPr>
                <w:rFonts w:ascii="Segoe UI" w:hAnsi="Segoe UI" w:cs="Segoe UI"/>
                <w:color w:val="0D0D0D"/>
                <w:sz w:val="21"/>
                <w:szCs w:val="21"/>
                <w:shd w:val="clear" w:color="auto" w:fill="FFFFFF"/>
              </w:rPr>
              <w:t xml:space="preserve"> reasonable adjustments.</w:t>
            </w:r>
          </w:p>
        </w:tc>
        <w:tc>
          <w:tcPr>
            <w:tcW w:w="2066" w:type="dxa"/>
          </w:tcPr>
          <w:p w14:paraId="37FF4433" w14:textId="722BCECF"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Build in formal process for recording and representing adjustments, ensure awareness around risks and need for sensitive handling by allocators</w:t>
            </w:r>
            <w:r w:rsidR="00EA15BB">
              <w:rPr>
                <w:rFonts w:ascii="Segoe UI" w:hAnsi="Segoe UI" w:cs="Segoe UI"/>
                <w:color w:val="0D0D0D"/>
                <w:sz w:val="21"/>
                <w:szCs w:val="21"/>
                <w:shd w:val="clear" w:color="auto" w:fill="FFFFFF"/>
              </w:rPr>
              <w:t>.</w:t>
            </w:r>
          </w:p>
        </w:tc>
        <w:tc>
          <w:tcPr>
            <w:tcW w:w="1775" w:type="dxa"/>
          </w:tcPr>
          <w:p w14:paraId="56E825B4" w14:textId="06146C3A"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HR, Allocators, EDI</w:t>
            </w:r>
          </w:p>
        </w:tc>
        <w:tc>
          <w:tcPr>
            <w:tcW w:w="1014" w:type="dxa"/>
          </w:tcPr>
          <w:p w14:paraId="22FB47AE" w14:textId="3BD62258"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Ongoing</w:t>
            </w:r>
          </w:p>
        </w:tc>
        <w:tc>
          <w:tcPr>
            <w:tcW w:w="1521" w:type="dxa"/>
          </w:tcPr>
          <w:p w14:paraId="1CF99729" w14:textId="134A1CD7"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Staff with reasonable adjustment report positive feedback of process and adjustments. </w:t>
            </w:r>
          </w:p>
        </w:tc>
        <w:tc>
          <w:tcPr>
            <w:tcW w:w="1650" w:type="dxa"/>
          </w:tcPr>
          <w:p w14:paraId="2E28B52C" w14:textId="13A2F45B"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Flagged as area of importance to project team, currently planning how to build this into model.</w:t>
            </w:r>
          </w:p>
        </w:tc>
      </w:tr>
      <w:tr w:rsidR="001A278C" w:rsidRPr="00177813" w14:paraId="226E7D79" w14:textId="77777777" w:rsidTr="001A278C">
        <w:trPr>
          <w:trHeight w:val="539"/>
        </w:trPr>
        <w:tc>
          <w:tcPr>
            <w:tcW w:w="2030" w:type="dxa"/>
          </w:tcPr>
          <w:p w14:paraId="25B172D7" w14:textId="77777777" w:rsidR="001A278C" w:rsidRPr="00177813" w:rsidRDefault="001A278C" w:rsidP="00177813">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Women and men</w:t>
            </w:r>
          </w:p>
        </w:tc>
        <w:tc>
          <w:tcPr>
            <w:tcW w:w="2649" w:type="dxa"/>
          </w:tcPr>
          <w:p w14:paraId="46B4B791" w14:textId="64EEE3AB"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Opportunity to monitor gender workload distribution for fairness.</w:t>
            </w:r>
          </w:p>
        </w:tc>
        <w:tc>
          <w:tcPr>
            <w:tcW w:w="2551" w:type="dxa"/>
          </w:tcPr>
          <w:p w14:paraId="50F25431" w14:textId="10F32F35"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Risk of unconscious bias in allocation.</w:t>
            </w:r>
          </w:p>
        </w:tc>
        <w:tc>
          <w:tcPr>
            <w:tcW w:w="2066" w:type="dxa"/>
          </w:tcPr>
          <w:p w14:paraId="522E291D" w14:textId="034A50BC"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Bias training for allocators, gender split reporting.</w:t>
            </w:r>
          </w:p>
        </w:tc>
        <w:tc>
          <w:tcPr>
            <w:tcW w:w="1775" w:type="dxa"/>
          </w:tcPr>
          <w:p w14:paraId="4FEC0DB5" w14:textId="58D916F3"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HR, Allocators</w:t>
            </w:r>
            <w:r w:rsidR="00A76909" w:rsidRPr="00266E0E">
              <w:rPr>
                <w:rFonts w:ascii="Segoe UI" w:hAnsi="Segoe UI" w:cs="Segoe UI"/>
                <w:color w:val="0D0D0D"/>
                <w:sz w:val="21"/>
                <w:szCs w:val="21"/>
                <w:shd w:val="clear" w:color="auto" w:fill="FFFFFF"/>
              </w:rPr>
              <w:t>, Training</w:t>
            </w:r>
          </w:p>
        </w:tc>
        <w:tc>
          <w:tcPr>
            <w:tcW w:w="1014" w:type="dxa"/>
          </w:tcPr>
          <w:p w14:paraId="2DD6C03B" w14:textId="6F0E3E20"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For release</w:t>
            </w:r>
          </w:p>
        </w:tc>
        <w:tc>
          <w:tcPr>
            <w:tcW w:w="1521" w:type="dxa"/>
          </w:tcPr>
          <w:p w14:paraId="22996B5B" w14:textId="2F421321"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Gender balance is monitored and acted upon if inequalities arise.</w:t>
            </w:r>
          </w:p>
        </w:tc>
        <w:tc>
          <w:tcPr>
            <w:tcW w:w="1650" w:type="dxa"/>
          </w:tcPr>
          <w:p w14:paraId="72B84651" w14:textId="79575129"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Training material in development, to explore if current bias training can mitigate issues.</w:t>
            </w:r>
          </w:p>
        </w:tc>
      </w:tr>
      <w:tr w:rsidR="001A278C" w:rsidRPr="00177813" w14:paraId="038FEC6E" w14:textId="77777777" w:rsidTr="001A278C">
        <w:trPr>
          <w:trHeight w:val="810"/>
        </w:trPr>
        <w:tc>
          <w:tcPr>
            <w:tcW w:w="2030" w:type="dxa"/>
          </w:tcPr>
          <w:p w14:paraId="03D0621A"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lastRenderedPageBreak/>
              <w:t>Trans and non-binary people</w:t>
            </w:r>
            <w:r w:rsidRPr="00177813">
              <w:rPr>
                <w:rFonts w:asciiTheme="minorHAnsi" w:hAnsiTheme="minorHAnsi" w:cstheme="minorHAnsi"/>
                <w:sz w:val="24"/>
                <w:szCs w:val="24"/>
              </w:rPr>
              <w:t>, including gender reassignment</w:t>
            </w:r>
          </w:p>
        </w:tc>
        <w:tc>
          <w:tcPr>
            <w:tcW w:w="2649" w:type="dxa"/>
          </w:tcPr>
          <w:p w14:paraId="0FC6D6B7" w14:textId="77C77684" w:rsidR="001A278C" w:rsidRPr="00266E0E" w:rsidRDefault="00CB17F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Opportunity to include pronoun capture and non-binary identity fields</w:t>
            </w:r>
            <w:r w:rsidR="00B64482" w:rsidRPr="00266E0E">
              <w:rPr>
                <w:rFonts w:ascii="Segoe UI" w:hAnsi="Segoe UI" w:cs="Segoe UI"/>
                <w:color w:val="0D0D0D"/>
                <w:sz w:val="21"/>
                <w:szCs w:val="21"/>
                <w:shd w:val="clear" w:color="auto" w:fill="FFFFFF"/>
              </w:rPr>
              <w:t xml:space="preserve"> if/how they are included in HR data feed. </w:t>
            </w:r>
          </w:p>
        </w:tc>
        <w:tc>
          <w:tcPr>
            <w:tcW w:w="2551" w:type="dxa"/>
          </w:tcPr>
          <w:p w14:paraId="12B2EA22" w14:textId="4691E1A9" w:rsidR="001A278C" w:rsidRPr="00266E0E" w:rsidRDefault="00B64482"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Risk of misgendering or inappropriate display of sex/gender data.</w:t>
            </w:r>
          </w:p>
        </w:tc>
        <w:tc>
          <w:tcPr>
            <w:tcW w:w="2066" w:type="dxa"/>
          </w:tcPr>
          <w:p w14:paraId="5D2B68FB" w14:textId="01D6ED53" w:rsidR="001A278C" w:rsidRPr="00266E0E" w:rsidRDefault="00B64482"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Review system data fields, turn pronouns to optional or off if available, system should hold and display no unnecessary sex or gender fields.</w:t>
            </w:r>
          </w:p>
        </w:tc>
        <w:tc>
          <w:tcPr>
            <w:tcW w:w="1775" w:type="dxa"/>
          </w:tcPr>
          <w:p w14:paraId="65674C5C" w14:textId="51126E10" w:rsidR="001A278C" w:rsidRPr="00266E0E" w:rsidRDefault="004464EB"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IT, HR, EDI</w:t>
            </w:r>
          </w:p>
        </w:tc>
        <w:tc>
          <w:tcPr>
            <w:tcW w:w="1014" w:type="dxa"/>
          </w:tcPr>
          <w:p w14:paraId="46E943D5" w14:textId="17C14DF8" w:rsidR="001A278C" w:rsidRPr="00266E0E" w:rsidRDefault="004464EB"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Pre-Release</w:t>
            </w:r>
          </w:p>
        </w:tc>
        <w:tc>
          <w:tcPr>
            <w:tcW w:w="1521" w:type="dxa"/>
          </w:tcPr>
          <w:p w14:paraId="7DDC171F" w14:textId="390D8769" w:rsidR="001A278C" w:rsidRPr="00266E0E" w:rsidRDefault="004464EB"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No formal or informal complaints of misgendering.</w:t>
            </w:r>
          </w:p>
        </w:tc>
        <w:tc>
          <w:tcPr>
            <w:tcW w:w="1650" w:type="dxa"/>
          </w:tcPr>
          <w:p w14:paraId="7F6FEACE" w14:textId="70944800" w:rsidR="001A278C" w:rsidRPr="00266E0E" w:rsidRDefault="00D8429C"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Query to be explored and resolved with vendor</w:t>
            </w:r>
            <w:r w:rsidR="00DE3618">
              <w:rPr>
                <w:rFonts w:ascii="Segoe UI" w:hAnsi="Segoe UI" w:cs="Segoe UI"/>
                <w:color w:val="0D0D0D"/>
                <w:sz w:val="21"/>
                <w:szCs w:val="21"/>
                <w:shd w:val="clear" w:color="auto" w:fill="FFFFFF"/>
              </w:rPr>
              <w:t>, however people data will not be manually entered into the system, this will be mastered and imported from the master data source.</w:t>
            </w:r>
          </w:p>
        </w:tc>
      </w:tr>
      <w:tr w:rsidR="001A278C" w:rsidRPr="00177813" w14:paraId="4CBAB146" w14:textId="77777777" w:rsidTr="001A278C">
        <w:trPr>
          <w:trHeight w:val="626"/>
        </w:trPr>
        <w:tc>
          <w:tcPr>
            <w:tcW w:w="2030" w:type="dxa"/>
          </w:tcPr>
          <w:p w14:paraId="436DFAB9"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Marriage</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civil partnership</w:t>
            </w:r>
          </w:p>
        </w:tc>
        <w:tc>
          <w:tcPr>
            <w:tcW w:w="2649" w:type="dxa"/>
          </w:tcPr>
          <w:p w14:paraId="4897395D" w14:textId="4AC7E819"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None identified</w:t>
            </w:r>
          </w:p>
        </w:tc>
        <w:tc>
          <w:tcPr>
            <w:tcW w:w="2551" w:type="dxa"/>
          </w:tcPr>
          <w:p w14:paraId="713781B8" w14:textId="4B52D1B5"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None identified</w:t>
            </w:r>
          </w:p>
        </w:tc>
        <w:tc>
          <w:tcPr>
            <w:tcW w:w="2066" w:type="dxa"/>
          </w:tcPr>
          <w:p w14:paraId="26A07982" w14:textId="7024E27F"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N/A</w:t>
            </w:r>
          </w:p>
        </w:tc>
        <w:tc>
          <w:tcPr>
            <w:tcW w:w="1775" w:type="dxa"/>
          </w:tcPr>
          <w:p w14:paraId="75623E39" w14:textId="717AB248"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N/A</w:t>
            </w:r>
          </w:p>
        </w:tc>
        <w:tc>
          <w:tcPr>
            <w:tcW w:w="1014" w:type="dxa"/>
          </w:tcPr>
          <w:p w14:paraId="54FA1448" w14:textId="62C21DC0"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N/A</w:t>
            </w:r>
          </w:p>
        </w:tc>
        <w:tc>
          <w:tcPr>
            <w:tcW w:w="1521" w:type="dxa"/>
          </w:tcPr>
          <w:p w14:paraId="18E8E680" w14:textId="602285B7"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N/A</w:t>
            </w:r>
          </w:p>
        </w:tc>
        <w:tc>
          <w:tcPr>
            <w:tcW w:w="1650" w:type="dxa"/>
          </w:tcPr>
          <w:p w14:paraId="39DF75E5" w14:textId="79E92128"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N/A</w:t>
            </w:r>
          </w:p>
        </w:tc>
      </w:tr>
      <w:tr w:rsidR="001A278C" w:rsidRPr="00177813" w14:paraId="20C68B4E" w14:textId="77777777" w:rsidTr="001A278C">
        <w:trPr>
          <w:trHeight w:val="794"/>
        </w:trPr>
        <w:tc>
          <w:tcPr>
            <w:tcW w:w="2030" w:type="dxa"/>
          </w:tcPr>
          <w:p w14:paraId="312FB787"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Pregnancy</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maternity</w:t>
            </w:r>
            <w:r w:rsidRPr="00177813">
              <w:rPr>
                <w:rFonts w:asciiTheme="minorHAnsi" w:hAnsiTheme="minorHAnsi" w:cstheme="minorHAnsi"/>
                <w:sz w:val="24"/>
                <w:szCs w:val="24"/>
              </w:rPr>
              <w:t>, including Adoption</w:t>
            </w:r>
          </w:p>
        </w:tc>
        <w:tc>
          <w:tcPr>
            <w:tcW w:w="2649" w:type="dxa"/>
          </w:tcPr>
          <w:p w14:paraId="1755DF82" w14:textId="1CB31B8C" w:rsidR="001A278C" w:rsidRPr="00266E0E" w:rsidRDefault="006D46BE"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Clearer mechanism to reallocate workload during leave; fairer treatment compared to previous more ad-hoc approaches.</w:t>
            </w:r>
          </w:p>
        </w:tc>
        <w:tc>
          <w:tcPr>
            <w:tcW w:w="2551" w:type="dxa"/>
          </w:tcPr>
          <w:p w14:paraId="18EE7675" w14:textId="412E01CF" w:rsidR="001A278C" w:rsidRPr="00266E0E" w:rsidRDefault="001D4E34"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Risk that returning staff receive disproportionate workload if leave/adjustments are not reflected, leading to stress or inequity.</w:t>
            </w:r>
          </w:p>
        </w:tc>
        <w:tc>
          <w:tcPr>
            <w:tcW w:w="2066" w:type="dxa"/>
          </w:tcPr>
          <w:p w14:paraId="3DAEC5F3" w14:textId="67575195" w:rsidR="001A278C" w:rsidRPr="00266E0E" w:rsidRDefault="001D4E34"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Build policy for maternity/adoption into model and test policy for appropriateness</w:t>
            </w:r>
            <w:r w:rsidR="004377E9" w:rsidRPr="00266E0E">
              <w:rPr>
                <w:rFonts w:ascii="Segoe UI" w:hAnsi="Segoe UI" w:cs="Segoe UI"/>
                <w:color w:val="0D0D0D"/>
                <w:sz w:val="21"/>
                <w:szCs w:val="21"/>
                <w:shd w:val="clear" w:color="auto" w:fill="FFFFFF"/>
              </w:rPr>
              <w:t>. Ensure policy is shared and staff have awareness.</w:t>
            </w:r>
          </w:p>
        </w:tc>
        <w:tc>
          <w:tcPr>
            <w:tcW w:w="1775" w:type="dxa"/>
          </w:tcPr>
          <w:p w14:paraId="74ECDD0E" w14:textId="7B9E3A71" w:rsidR="001A278C" w:rsidRPr="00266E0E" w:rsidRDefault="001D4E34"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HR, Allocators, Project Team</w:t>
            </w:r>
          </w:p>
        </w:tc>
        <w:tc>
          <w:tcPr>
            <w:tcW w:w="1014" w:type="dxa"/>
          </w:tcPr>
          <w:p w14:paraId="3DE963DD" w14:textId="4B10E617" w:rsidR="001A278C" w:rsidRPr="00266E0E" w:rsidRDefault="001D4E34"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Go-Live</w:t>
            </w:r>
          </w:p>
        </w:tc>
        <w:tc>
          <w:tcPr>
            <w:tcW w:w="1521" w:type="dxa"/>
          </w:tcPr>
          <w:p w14:paraId="3DA8DFD7" w14:textId="1E356720" w:rsidR="001A278C" w:rsidRPr="00266E0E" w:rsidRDefault="001D4E34"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Staff returning from leave report fair workload</w:t>
            </w:r>
            <w:r w:rsidR="00C02B41" w:rsidRPr="00266E0E">
              <w:rPr>
                <w:rFonts w:ascii="Segoe UI" w:hAnsi="Segoe UI" w:cs="Segoe UI"/>
                <w:color w:val="0D0D0D"/>
                <w:sz w:val="21"/>
                <w:szCs w:val="21"/>
                <w:shd w:val="clear" w:color="auto" w:fill="FFFFFF"/>
              </w:rPr>
              <w:t>,</w:t>
            </w:r>
            <w:r w:rsidRPr="00266E0E">
              <w:rPr>
                <w:rFonts w:ascii="Segoe UI" w:hAnsi="Segoe UI" w:cs="Segoe UI"/>
                <w:color w:val="0D0D0D"/>
                <w:sz w:val="21"/>
                <w:szCs w:val="21"/>
                <w:shd w:val="clear" w:color="auto" w:fill="FFFFFF"/>
              </w:rPr>
              <w:t xml:space="preserve"> minimal complaints or escalations.</w:t>
            </w:r>
          </w:p>
        </w:tc>
        <w:tc>
          <w:tcPr>
            <w:tcW w:w="1650" w:type="dxa"/>
          </w:tcPr>
          <w:p w14:paraId="12A00AAF" w14:textId="369ADB0A" w:rsidR="001A278C" w:rsidRPr="00266E0E" w:rsidRDefault="001D4E34"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Model process design in progress. Flagged to team.</w:t>
            </w:r>
          </w:p>
        </w:tc>
      </w:tr>
      <w:tr w:rsidR="001A278C" w:rsidRPr="00177813" w14:paraId="6EFCB505" w14:textId="77777777" w:rsidTr="001A278C">
        <w:trPr>
          <w:trHeight w:val="552"/>
        </w:trPr>
        <w:tc>
          <w:tcPr>
            <w:tcW w:w="2030" w:type="dxa"/>
          </w:tcPr>
          <w:p w14:paraId="7BDAFDDC"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lastRenderedPageBreak/>
              <w:t>Race</w:t>
            </w:r>
            <w:r w:rsidRPr="00177813">
              <w:rPr>
                <w:rFonts w:asciiTheme="minorHAnsi" w:hAnsiTheme="minorHAnsi" w:cstheme="minorHAnsi"/>
                <w:sz w:val="24"/>
                <w:szCs w:val="24"/>
              </w:rPr>
              <w:t>, including ethnicity and citizenship</w:t>
            </w:r>
          </w:p>
        </w:tc>
        <w:tc>
          <w:tcPr>
            <w:tcW w:w="2649" w:type="dxa"/>
          </w:tcPr>
          <w:p w14:paraId="57E37F3B" w14:textId="033F9168" w:rsidR="001A278C" w:rsidRPr="00266E0E" w:rsidRDefault="004377E9"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Transparent workload may help mitigate hidden bias in allocation.</w:t>
            </w:r>
          </w:p>
        </w:tc>
        <w:tc>
          <w:tcPr>
            <w:tcW w:w="2551" w:type="dxa"/>
          </w:tcPr>
          <w:p w14:paraId="203C5656" w14:textId="2325C72D" w:rsidR="001A278C" w:rsidRPr="00266E0E" w:rsidRDefault="004377E9"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Risk of unconscious bias still influencing allocators (e.g., assumptions about availability).</w:t>
            </w:r>
          </w:p>
        </w:tc>
        <w:tc>
          <w:tcPr>
            <w:tcW w:w="2066" w:type="dxa"/>
          </w:tcPr>
          <w:p w14:paraId="789F84CA" w14:textId="5B119554" w:rsidR="001A278C" w:rsidRPr="00266E0E" w:rsidRDefault="004313C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Allocator bias training,</w:t>
            </w:r>
            <w:r w:rsidR="00463338">
              <w:rPr>
                <w:rFonts w:ascii="Segoe UI" w:hAnsi="Segoe UI" w:cs="Segoe UI"/>
                <w:color w:val="0D0D0D"/>
                <w:sz w:val="21"/>
                <w:szCs w:val="21"/>
                <w:shd w:val="clear" w:color="auto" w:fill="FFFFFF"/>
              </w:rPr>
              <w:t xml:space="preserve"> Anti racism training suite, r</w:t>
            </w:r>
            <w:r w:rsidRPr="00266E0E">
              <w:rPr>
                <w:rFonts w:ascii="Segoe UI" w:hAnsi="Segoe UI" w:cs="Segoe UI"/>
                <w:color w:val="0D0D0D"/>
                <w:sz w:val="21"/>
                <w:szCs w:val="21"/>
                <w:shd w:val="clear" w:color="auto" w:fill="FFFFFF"/>
              </w:rPr>
              <w:t>eview allocations by ethnicity.</w:t>
            </w:r>
          </w:p>
        </w:tc>
        <w:tc>
          <w:tcPr>
            <w:tcW w:w="1775" w:type="dxa"/>
          </w:tcPr>
          <w:p w14:paraId="1AB622BC" w14:textId="358DE2F3" w:rsidR="001A278C" w:rsidRPr="00266E0E" w:rsidRDefault="004313C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HR, Allocators, EDI</w:t>
            </w:r>
            <w:r w:rsidR="00A76909" w:rsidRPr="00266E0E">
              <w:rPr>
                <w:rFonts w:ascii="Segoe UI" w:hAnsi="Segoe UI" w:cs="Segoe UI"/>
                <w:color w:val="0D0D0D"/>
                <w:sz w:val="21"/>
                <w:szCs w:val="21"/>
                <w:shd w:val="clear" w:color="auto" w:fill="FFFFFF"/>
              </w:rPr>
              <w:t>, Training</w:t>
            </w:r>
          </w:p>
        </w:tc>
        <w:tc>
          <w:tcPr>
            <w:tcW w:w="1014" w:type="dxa"/>
          </w:tcPr>
          <w:p w14:paraId="585F48C2" w14:textId="48CC15BF" w:rsidR="001A278C" w:rsidRPr="00266E0E" w:rsidRDefault="004313C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Ongoing</w:t>
            </w:r>
          </w:p>
        </w:tc>
        <w:tc>
          <w:tcPr>
            <w:tcW w:w="1521" w:type="dxa"/>
          </w:tcPr>
          <w:p w14:paraId="5A7718BC" w14:textId="7AB5D7A7" w:rsidR="001A278C" w:rsidRPr="00266E0E" w:rsidRDefault="004313C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Monitoring shows no disproportionality.</w:t>
            </w:r>
          </w:p>
        </w:tc>
        <w:tc>
          <w:tcPr>
            <w:tcW w:w="1650" w:type="dxa"/>
          </w:tcPr>
          <w:p w14:paraId="25FCD178" w14:textId="40AAA5A4" w:rsidR="001A278C" w:rsidRPr="00266E0E" w:rsidRDefault="004313C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Training under development.</w:t>
            </w:r>
          </w:p>
        </w:tc>
      </w:tr>
      <w:tr w:rsidR="001A278C" w:rsidRPr="00177813" w14:paraId="432C097C" w14:textId="77777777" w:rsidTr="001A278C">
        <w:trPr>
          <w:trHeight w:val="668"/>
        </w:trPr>
        <w:tc>
          <w:tcPr>
            <w:tcW w:w="2030" w:type="dxa"/>
          </w:tcPr>
          <w:p w14:paraId="6FB96525"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Religion and/or belief</w:t>
            </w:r>
            <w:r w:rsidRPr="00177813">
              <w:rPr>
                <w:rFonts w:asciiTheme="minorHAnsi" w:hAnsiTheme="minorHAnsi" w:cstheme="minorHAnsi"/>
                <w:sz w:val="24"/>
                <w:szCs w:val="24"/>
              </w:rPr>
              <w:t>, including those without religion and/or belief</w:t>
            </w:r>
          </w:p>
        </w:tc>
        <w:tc>
          <w:tcPr>
            <w:tcW w:w="2649" w:type="dxa"/>
          </w:tcPr>
          <w:p w14:paraId="63B6FB0C" w14:textId="558D930F" w:rsidR="001A278C" w:rsidRPr="00266E0E" w:rsidRDefault="004313C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Neutral – system focuses on workload not scheduling.</w:t>
            </w:r>
          </w:p>
        </w:tc>
        <w:tc>
          <w:tcPr>
            <w:tcW w:w="2551" w:type="dxa"/>
          </w:tcPr>
          <w:p w14:paraId="45981CE0" w14:textId="7091B664" w:rsidR="001A278C" w:rsidRPr="00266E0E" w:rsidRDefault="000D0D1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Neutral – system focuses on workload not scheduling.</w:t>
            </w:r>
          </w:p>
        </w:tc>
        <w:tc>
          <w:tcPr>
            <w:tcW w:w="2066" w:type="dxa"/>
          </w:tcPr>
          <w:p w14:paraId="20278B6C" w14:textId="07DED267" w:rsidR="001A278C" w:rsidRPr="00266E0E" w:rsidRDefault="000D0D16" w:rsidP="00177813">
            <w:pPr>
              <w:spacing w:after="200" w:line="276" w:lineRule="auto"/>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N/A</w:t>
            </w:r>
          </w:p>
        </w:tc>
        <w:tc>
          <w:tcPr>
            <w:tcW w:w="1775" w:type="dxa"/>
          </w:tcPr>
          <w:p w14:paraId="281C6708" w14:textId="6901C75A" w:rsidR="001A278C" w:rsidRPr="00266E0E" w:rsidRDefault="000D0D16" w:rsidP="00177813">
            <w:pPr>
              <w:spacing w:after="200" w:line="276" w:lineRule="auto"/>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N/A</w:t>
            </w:r>
          </w:p>
        </w:tc>
        <w:tc>
          <w:tcPr>
            <w:tcW w:w="1014" w:type="dxa"/>
          </w:tcPr>
          <w:p w14:paraId="64A96B9B" w14:textId="55B976BE" w:rsidR="001A278C" w:rsidRPr="00266E0E" w:rsidRDefault="000D0D16" w:rsidP="00177813">
            <w:pPr>
              <w:spacing w:after="200" w:line="276" w:lineRule="auto"/>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N/A</w:t>
            </w:r>
          </w:p>
        </w:tc>
        <w:tc>
          <w:tcPr>
            <w:tcW w:w="1521" w:type="dxa"/>
          </w:tcPr>
          <w:p w14:paraId="52920102" w14:textId="08C7B5E4" w:rsidR="001A278C" w:rsidRPr="00266E0E" w:rsidRDefault="000D0D16" w:rsidP="00177813">
            <w:pPr>
              <w:spacing w:after="200" w:line="276" w:lineRule="auto"/>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N/A</w:t>
            </w:r>
          </w:p>
        </w:tc>
        <w:tc>
          <w:tcPr>
            <w:tcW w:w="1650" w:type="dxa"/>
          </w:tcPr>
          <w:p w14:paraId="463D928D" w14:textId="24FCA14E" w:rsidR="001A278C" w:rsidRPr="00266E0E" w:rsidRDefault="000D0D16" w:rsidP="00177813">
            <w:pPr>
              <w:spacing w:after="200" w:line="276" w:lineRule="auto"/>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N/A</w:t>
            </w:r>
          </w:p>
        </w:tc>
      </w:tr>
      <w:tr w:rsidR="001A278C" w:rsidRPr="00177813" w14:paraId="20F86990" w14:textId="77777777" w:rsidTr="001A278C">
        <w:trPr>
          <w:trHeight w:val="651"/>
        </w:trPr>
        <w:tc>
          <w:tcPr>
            <w:tcW w:w="2030" w:type="dxa"/>
          </w:tcPr>
          <w:p w14:paraId="0B74A0DC" w14:textId="77777777" w:rsidR="001A278C" w:rsidRPr="00177813" w:rsidRDefault="001A278C" w:rsidP="00177813">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Sexual orientation</w:t>
            </w:r>
          </w:p>
        </w:tc>
        <w:tc>
          <w:tcPr>
            <w:tcW w:w="2649" w:type="dxa"/>
          </w:tcPr>
          <w:p w14:paraId="431056AF" w14:textId="350F7915"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Neutral</w:t>
            </w:r>
          </w:p>
        </w:tc>
        <w:tc>
          <w:tcPr>
            <w:tcW w:w="2551" w:type="dxa"/>
          </w:tcPr>
          <w:p w14:paraId="35C55572" w14:textId="22A179FE"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Data is not held, no risks.</w:t>
            </w:r>
          </w:p>
        </w:tc>
        <w:tc>
          <w:tcPr>
            <w:tcW w:w="2066" w:type="dxa"/>
          </w:tcPr>
          <w:p w14:paraId="38C450E0" w14:textId="1FB3F4F8"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Ensure data is not held.</w:t>
            </w:r>
          </w:p>
        </w:tc>
        <w:tc>
          <w:tcPr>
            <w:tcW w:w="1775" w:type="dxa"/>
          </w:tcPr>
          <w:p w14:paraId="5E5F8388" w14:textId="67DBA5D0"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IT, HR</w:t>
            </w:r>
          </w:p>
        </w:tc>
        <w:tc>
          <w:tcPr>
            <w:tcW w:w="1014" w:type="dxa"/>
          </w:tcPr>
          <w:p w14:paraId="1145D04D" w14:textId="4BFDB397"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Ongoing</w:t>
            </w:r>
          </w:p>
        </w:tc>
        <w:tc>
          <w:tcPr>
            <w:tcW w:w="1521" w:type="dxa"/>
          </w:tcPr>
          <w:p w14:paraId="3E54CFEC" w14:textId="56F86900"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No sexual orientation data is ingested by the system.</w:t>
            </w:r>
          </w:p>
        </w:tc>
        <w:tc>
          <w:tcPr>
            <w:tcW w:w="1650" w:type="dxa"/>
          </w:tcPr>
          <w:p w14:paraId="56B9622E" w14:textId="695EE5F2"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 xml:space="preserve">Need to confirm final dataset with </w:t>
            </w:r>
            <w:proofErr w:type="spellStart"/>
            <w:r w:rsidRPr="00266E0E">
              <w:rPr>
                <w:rFonts w:ascii="Segoe UI" w:hAnsi="Segoe UI" w:cs="Segoe UI"/>
                <w:color w:val="0D0D0D"/>
                <w:sz w:val="21"/>
                <w:szCs w:val="21"/>
                <w:shd w:val="clear" w:color="auto" w:fill="FFFFFF"/>
              </w:rPr>
              <w:t>Simitive</w:t>
            </w:r>
            <w:proofErr w:type="spellEnd"/>
            <w:r w:rsidRPr="00266E0E">
              <w:rPr>
                <w:rFonts w:ascii="Segoe UI" w:hAnsi="Segoe UI" w:cs="Segoe UI"/>
                <w:color w:val="0D0D0D"/>
                <w:sz w:val="21"/>
                <w:szCs w:val="21"/>
                <w:shd w:val="clear" w:color="auto" w:fill="FFFFFF"/>
              </w:rPr>
              <w:t xml:space="preserve"> when engagement kicks off.</w:t>
            </w:r>
          </w:p>
        </w:tc>
      </w:tr>
      <w:tr w:rsidR="001A278C" w:rsidRPr="00177813" w14:paraId="2B563135" w14:textId="77777777" w:rsidTr="001A278C">
        <w:trPr>
          <w:trHeight w:val="804"/>
        </w:trPr>
        <w:tc>
          <w:tcPr>
            <w:tcW w:w="2030" w:type="dxa"/>
          </w:tcPr>
          <w:p w14:paraId="74F66D89"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Other specific group</w:t>
            </w:r>
            <w:r w:rsidRPr="00177813">
              <w:rPr>
                <w:rFonts w:asciiTheme="minorHAnsi" w:hAnsiTheme="minorHAnsi" w:cstheme="minorHAnsi"/>
                <w:sz w:val="24"/>
                <w:szCs w:val="24"/>
              </w:rPr>
              <w:t xml:space="preserve"> (e.g., International or Access)</w:t>
            </w:r>
          </w:p>
        </w:tc>
        <w:tc>
          <w:tcPr>
            <w:tcW w:w="2649" w:type="dxa"/>
          </w:tcPr>
          <w:p w14:paraId="23EE3E27" w14:textId="70FC4E2A"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International staff may benefit from consistency of allocations across schools and ability to look at model to understand more easily.</w:t>
            </w:r>
          </w:p>
        </w:tc>
        <w:tc>
          <w:tcPr>
            <w:tcW w:w="2551" w:type="dxa"/>
          </w:tcPr>
          <w:p w14:paraId="358948AC" w14:textId="5FE36B15"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Risk of misunderstanding due to language or terminology, potentially different contract and workload allocation approaches than used to.</w:t>
            </w:r>
          </w:p>
        </w:tc>
        <w:tc>
          <w:tcPr>
            <w:tcW w:w="2066" w:type="dxa"/>
          </w:tcPr>
          <w:p w14:paraId="05173C63" w14:textId="7CB511D6"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Provide clear guidance and FAQs for international staff.</w:t>
            </w:r>
          </w:p>
        </w:tc>
        <w:tc>
          <w:tcPr>
            <w:tcW w:w="1775" w:type="dxa"/>
          </w:tcPr>
          <w:p w14:paraId="67744D92" w14:textId="6FC807F2"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HR, Comms</w:t>
            </w:r>
          </w:p>
        </w:tc>
        <w:tc>
          <w:tcPr>
            <w:tcW w:w="1014" w:type="dxa"/>
          </w:tcPr>
          <w:p w14:paraId="73D0CF4D" w14:textId="0B76009A"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Pre-Launch</w:t>
            </w:r>
          </w:p>
        </w:tc>
        <w:tc>
          <w:tcPr>
            <w:tcW w:w="1521" w:type="dxa"/>
          </w:tcPr>
          <w:p w14:paraId="2CADA114" w14:textId="28658302"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Positive feedback from international staff.</w:t>
            </w:r>
          </w:p>
        </w:tc>
        <w:tc>
          <w:tcPr>
            <w:tcW w:w="1650" w:type="dxa"/>
          </w:tcPr>
          <w:p w14:paraId="1C094985" w14:textId="16BBF8DA" w:rsidR="001A278C" w:rsidRPr="00266E0E" w:rsidRDefault="00D55846" w:rsidP="00177813">
            <w:pPr>
              <w:spacing w:after="200" w:line="276" w:lineRule="auto"/>
              <w:rPr>
                <w:rFonts w:ascii="Segoe UI" w:hAnsi="Segoe UI" w:cs="Segoe UI"/>
                <w:color w:val="0D0D0D"/>
                <w:sz w:val="21"/>
                <w:szCs w:val="21"/>
                <w:shd w:val="clear" w:color="auto" w:fill="FFFFFF"/>
              </w:rPr>
            </w:pPr>
            <w:r w:rsidRPr="00266E0E">
              <w:rPr>
                <w:rFonts w:ascii="Segoe UI" w:hAnsi="Segoe UI" w:cs="Segoe UI"/>
                <w:color w:val="0D0D0D"/>
                <w:sz w:val="21"/>
                <w:szCs w:val="21"/>
                <w:shd w:val="clear" w:color="auto" w:fill="FFFFFF"/>
              </w:rPr>
              <w:t>To be included in comms plan.</w:t>
            </w:r>
          </w:p>
        </w:tc>
      </w:tr>
    </w:tbl>
    <w:p w14:paraId="24AA9972" w14:textId="77777777" w:rsidR="00177813" w:rsidRPr="00177813" w:rsidRDefault="00177813" w:rsidP="00177813">
      <w:pPr>
        <w:spacing w:after="200" w:line="276" w:lineRule="auto"/>
        <w:rPr>
          <w:rFonts w:cstheme="minorHAnsi"/>
          <w:sz w:val="24"/>
          <w:szCs w:val="24"/>
        </w:rPr>
      </w:pP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 xml:space="preserve">Project manager next steps </w:t>
      </w:r>
    </w:p>
    <w:p w14:paraId="1D6BF551" w14:textId="1CFDE4A7"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Does this Equality Analysis require consultation of 3 or 6 weeks (</w:t>
      </w:r>
      <w:hyperlink r:id="rId12" w:history="1">
        <w:r w:rsidRPr="00177813">
          <w:rPr>
            <w:rFonts w:eastAsiaTheme="majorEastAsia" w:cstheme="minorHAnsi"/>
            <w:color w:val="0563C1"/>
            <w:sz w:val="24"/>
            <w:szCs w:val="24"/>
            <w:u w:val="single"/>
          </w:rPr>
          <w:t>chart to help you decide</w:t>
        </w:r>
      </w:hyperlink>
      <w:r w:rsidRPr="00177813">
        <w:rPr>
          <w:rFonts w:cstheme="minorHAnsi"/>
          <w:sz w:val="24"/>
          <w:szCs w:val="24"/>
        </w:rPr>
        <w:t>)</w:t>
      </w:r>
      <w:r>
        <w:rPr>
          <w:rFonts w:cstheme="minorHAnsi"/>
          <w:sz w:val="24"/>
          <w:szCs w:val="24"/>
        </w:rPr>
        <w:t xml:space="preserve"> </w:t>
      </w:r>
      <w:r>
        <w:rPr>
          <w:rFonts w:cstheme="minorHAnsi"/>
          <w:sz w:val="24"/>
          <w:szCs w:val="24"/>
        </w:rPr>
        <w:tab/>
      </w:r>
      <w:r w:rsidRPr="00556051">
        <w:rPr>
          <w:rFonts w:cstheme="minorHAnsi"/>
          <w:b/>
          <w:bCs/>
          <w:sz w:val="24"/>
          <w:szCs w:val="24"/>
          <w:u w:val="single"/>
        </w:rPr>
        <w:t>6 weeks</w:t>
      </w:r>
      <w:r>
        <w:rPr>
          <w:rFonts w:cstheme="minorHAnsi"/>
          <w:sz w:val="24"/>
          <w:szCs w:val="24"/>
        </w:rPr>
        <w:t xml:space="preserve"> </w:t>
      </w:r>
    </w:p>
    <w:p w14:paraId="3BBA494C" w14:textId="3678180E" w:rsidR="00321FF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76AA5A18" w14:textId="77777777" w:rsidR="00176851" w:rsidRDefault="00176851" w:rsidP="00321FF1">
      <w:pPr>
        <w:keepNext/>
        <w:keepLines/>
        <w:spacing w:before="40" w:after="0" w:line="240" w:lineRule="auto"/>
        <w:ind w:left="-454"/>
        <w:outlineLvl w:val="1"/>
        <w:rPr>
          <w:rFonts w:cstheme="minorHAnsi"/>
          <w:sz w:val="24"/>
          <w:szCs w:val="24"/>
        </w:rPr>
      </w:pPr>
    </w:p>
    <w:p w14:paraId="2C7FE35C" w14:textId="0FB50B36"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Is further monitoring or engagement required? (In addition to the formal Equality Analysis consultation, e.g., with the Students’ Union, Disability Services, relevant staff groups)</w:t>
      </w:r>
      <w:r w:rsidR="00556051">
        <w:rPr>
          <w:rFonts w:cstheme="minorHAnsi"/>
          <w:sz w:val="24"/>
          <w:szCs w:val="24"/>
        </w:rPr>
        <w:t xml:space="preserve"> </w:t>
      </w:r>
      <w:r w:rsidRPr="00556051">
        <w:rPr>
          <w:rFonts w:cstheme="minorHAnsi"/>
          <w:b/>
          <w:bCs/>
          <w:sz w:val="24"/>
          <w:szCs w:val="24"/>
          <w:u w:val="single"/>
        </w:rPr>
        <w:t>Yes</w:t>
      </w:r>
      <w:r w:rsidR="00556051" w:rsidRPr="00556051">
        <w:rPr>
          <w:rFonts w:cstheme="minorHAnsi"/>
          <w:b/>
          <w:bCs/>
          <w:sz w:val="24"/>
          <w:szCs w:val="24"/>
          <w:u w:val="single"/>
        </w:rPr>
        <w:t xml:space="preserve"> – </w:t>
      </w:r>
      <w:r w:rsidR="00556051">
        <w:rPr>
          <w:rFonts w:cstheme="minorHAnsi"/>
          <w:b/>
          <w:bCs/>
          <w:sz w:val="24"/>
          <w:szCs w:val="24"/>
          <w:u w:val="single"/>
        </w:rPr>
        <w:t>P</w:t>
      </w:r>
      <w:r w:rsidR="00556051" w:rsidRPr="00556051">
        <w:rPr>
          <w:rFonts w:cstheme="minorHAnsi"/>
          <w:b/>
          <w:bCs/>
          <w:sz w:val="24"/>
          <w:szCs w:val="24"/>
          <w:u w:val="single"/>
        </w:rPr>
        <w:t>resenting at Staff Networks</w:t>
      </w:r>
      <w:r w:rsidR="00556051">
        <w:rPr>
          <w:rFonts w:cstheme="minorHAnsi"/>
          <w:b/>
          <w:bCs/>
          <w:sz w:val="24"/>
          <w:szCs w:val="24"/>
          <w:u w:val="single"/>
        </w:rPr>
        <w:t xml:space="preserve"> who have an opportunity to consult prior to formal consultation.</w:t>
      </w:r>
    </w:p>
    <w:p w14:paraId="4200402B" w14:textId="2F7BC30D" w:rsidR="0017685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CF6C919" w14:textId="6DA64ECE" w:rsidR="00C9147E" w:rsidRDefault="00321FF1" w:rsidP="00C9147E">
      <w:pPr>
        <w:keepNext/>
        <w:keepLines/>
        <w:spacing w:before="40" w:after="0" w:line="240" w:lineRule="auto"/>
        <w:ind w:left="-454"/>
        <w:outlineLvl w:val="1"/>
        <w:rPr>
          <w:rFonts w:cstheme="minorHAnsi"/>
          <w:sz w:val="24"/>
          <w:szCs w:val="24"/>
        </w:rPr>
      </w:pPr>
      <w:r w:rsidRPr="00177813">
        <w:rPr>
          <w:rFonts w:cstheme="minorHAnsi"/>
          <w:sz w:val="24"/>
          <w:szCs w:val="24"/>
        </w:rPr>
        <w:t>What measure / statistic / data will you use to check if the activity has had a positive, negative</w:t>
      </w:r>
      <w:r w:rsidR="00176851">
        <w:rPr>
          <w:rFonts w:cstheme="minorHAnsi"/>
          <w:sz w:val="24"/>
          <w:szCs w:val="24"/>
        </w:rPr>
        <w:t>,</w:t>
      </w:r>
      <w:r w:rsidRPr="00177813">
        <w:rPr>
          <w:rFonts w:cstheme="minorHAnsi"/>
          <w:sz w:val="24"/>
          <w:szCs w:val="24"/>
        </w:rPr>
        <w:t xml:space="preserve"> or neutral outcome?</w:t>
      </w:r>
      <w:r w:rsidR="00556051">
        <w:rPr>
          <w:rFonts w:cstheme="minorHAnsi"/>
          <w:sz w:val="24"/>
          <w:szCs w:val="24"/>
        </w:rPr>
        <w:t xml:space="preserve"> </w:t>
      </w:r>
      <w:r w:rsidR="00556051" w:rsidRPr="00556051">
        <w:rPr>
          <w:rFonts w:cstheme="minorHAnsi"/>
          <w:b/>
          <w:bCs/>
          <w:sz w:val="24"/>
          <w:szCs w:val="24"/>
          <w:u w:val="single"/>
        </w:rPr>
        <w:t>Feedback from stakeholders.</w:t>
      </w:r>
    </w:p>
    <w:p w14:paraId="3BA0130C" w14:textId="77777777" w:rsidR="00C9147E" w:rsidRDefault="00C9147E" w:rsidP="00C9147E">
      <w:pPr>
        <w:keepNext/>
        <w:keepLines/>
        <w:spacing w:before="40" w:after="0" w:line="240" w:lineRule="auto"/>
        <w:ind w:left="-454"/>
        <w:outlineLvl w:val="1"/>
        <w:rPr>
          <w:rFonts w:cstheme="minorHAnsi"/>
          <w:sz w:val="24"/>
          <w:szCs w:val="24"/>
        </w:rPr>
      </w:pPr>
    </w:p>
    <w:p w14:paraId="6647F750" w14:textId="34E8EC3D" w:rsid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When will you review this Equality Analysis?</w:t>
      </w:r>
      <w:r>
        <w:rPr>
          <w:rFonts w:cstheme="minorHAnsi"/>
          <w:sz w:val="24"/>
          <w:szCs w:val="24"/>
        </w:rPr>
        <w:t xml:space="preserve"> </w:t>
      </w:r>
      <w:r w:rsidRPr="00177813">
        <w:rPr>
          <w:rFonts w:cstheme="minorHAnsi"/>
          <w:sz w:val="24"/>
          <w:szCs w:val="24"/>
        </w:rPr>
        <w:t>Enter date or project stage suitable to the proposal</w:t>
      </w:r>
      <w:r>
        <w:rPr>
          <w:rFonts w:cstheme="minorHAnsi"/>
          <w:sz w:val="24"/>
          <w:szCs w:val="24"/>
        </w:rPr>
        <w:t>:</w:t>
      </w:r>
      <w:r w:rsidR="00556051">
        <w:rPr>
          <w:rFonts w:cstheme="minorHAnsi"/>
          <w:sz w:val="24"/>
          <w:szCs w:val="24"/>
        </w:rPr>
        <w:t xml:space="preserve"> </w:t>
      </w:r>
      <w:r w:rsidR="00556051" w:rsidRPr="00556051">
        <w:rPr>
          <w:rFonts w:cstheme="minorHAnsi"/>
          <w:b/>
          <w:bCs/>
          <w:sz w:val="24"/>
          <w:szCs w:val="24"/>
          <w:u w:val="single"/>
        </w:rPr>
        <w:t>We will consider feedback in an ongoing nature to inform development and improvement of the model and project.</w:t>
      </w:r>
    </w:p>
    <w:p w14:paraId="1E53C6B8" w14:textId="0EFB4927" w:rsidR="00C9147E" w:rsidRDefault="00C9147E" w:rsidP="00C9147E">
      <w:pPr>
        <w:keepNext/>
        <w:keepLines/>
        <w:spacing w:before="40" w:after="0" w:line="240" w:lineRule="auto"/>
        <w:ind w:left="-454"/>
        <w:outlineLvl w:val="1"/>
        <w:rPr>
          <w:rFonts w:cstheme="minorHAnsi"/>
          <w:sz w:val="24"/>
          <w:szCs w:val="24"/>
        </w:rPr>
      </w:pPr>
    </w:p>
    <w:p w14:paraId="6E6A6991" w14:textId="4491EB6E"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0F4A5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The EDI Team has reviewed this Equality Analysis and is satisfied that it is ready for formal consultation</w:t>
      </w:r>
    </w:p>
    <w:p w14:paraId="79EB4558" w14:textId="32B257FD" w:rsidR="00321FF1"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EDI representative</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77813">
        <w:rPr>
          <w:rFonts w:cstheme="minorHAnsi"/>
          <w:sz w:val="24"/>
          <w:szCs w:val="24"/>
        </w:rPr>
        <w:t>Date</w:t>
      </w:r>
      <w:r>
        <w:rPr>
          <w:rFonts w:cstheme="minorHAnsi"/>
          <w:sz w:val="24"/>
          <w:szCs w:val="24"/>
        </w:rPr>
        <w:t>:</w:t>
      </w:r>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14:paraId="00BB74F5" w14:textId="77777777"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w:t>
      </w:r>
      <w:proofErr w:type="gramStart"/>
      <w:r w:rsidRPr="00177813">
        <w:rPr>
          <w:rFonts w:cstheme="minorHAnsi"/>
          <w:sz w:val="24"/>
          <w:szCs w:val="24"/>
        </w:rPr>
        <w:t>as a consequence of</w:t>
      </w:r>
      <w:proofErr w:type="gramEnd"/>
      <w:r w:rsidRPr="00177813">
        <w:rPr>
          <w:rFonts w:cstheme="minorHAnsi"/>
          <w:sz w:val="24"/>
          <w:szCs w:val="24"/>
        </w:rPr>
        <w:t xml:space="preserve">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1CBBA0C9"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p>
    <w:p w14:paraId="6A1592B0" w14:textId="3282795A"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p>
    <w:p w14:paraId="214FF392" w14:textId="52763AD3"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p>
    <w:p w14:paraId="46E1B4C0"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0C7A0599"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031466B"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3251E88"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5D67689C"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So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00176851" w:rsidRPr="00177813" w14:paraId="6F3929E6" w14:textId="77777777" w:rsidTr="00BA62BE">
        <w:tc>
          <w:tcPr>
            <w:tcW w:w="7405" w:type="dxa"/>
          </w:tcPr>
          <w:p w14:paraId="5BDC03EC" w14:textId="77777777" w:rsidR="00176851" w:rsidRPr="00177813" w:rsidRDefault="00176851" w:rsidP="00BA62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14:paraId="228F5193" w14:textId="77777777" w:rsidR="00176851" w:rsidRPr="00177813" w:rsidRDefault="00176851" w:rsidP="00BA62BE">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00176851" w:rsidRPr="00177813" w14:paraId="6CF5206A" w14:textId="77777777" w:rsidTr="00BA62BE">
        <w:tc>
          <w:tcPr>
            <w:tcW w:w="7405" w:type="dxa"/>
          </w:tcPr>
          <w:p w14:paraId="7F0950EA" w14:textId="77777777" w:rsidR="00176851" w:rsidRPr="00177813" w:rsidRDefault="00176851" w:rsidP="00BA62BE">
            <w:pPr>
              <w:spacing w:after="200" w:line="276" w:lineRule="auto"/>
              <w:rPr>
                <w:sz w:val="24"/>
                <w:szCs w:val="24"/>
              </w:rPr>
            </w:pPr>
          </w:p>
        </w:tc>
        <w:tc>
          <w:tcPr>
            <w:tcW w:w="7338" w:type="dxa"/>
          </w:tcPr>
          <w:p w14:paraId="237224A9" w14:textId="77777777" w:rsidR="00176851" w:rsidRPr="00177813" w:rsidRDefault="00176851" w:rsidP="00BA62BE">
            <w:pPr>
              <w:spacing w:after="200" w:line="276" w:lineRule="auto"/>
              <w:rPr>
                <w:sz w:val="24"/>
                <w:szCs w:val="24"/>
              </w:rPr>
            </w:pPr>
          </w:p>
        </w:tc>
      </w:tr>
      <w:tr w:rsidR="00176851" w:rsidRPr="00177813" w14:paraId="01D128F7" w14:textId="77777777" w:rsidTr="00BA62BE">
        <w:tc>
          <w:tcPr>
            <w:tcW w:w="7405" w:type="dxa"/>
          </w:tcPr>
          <w:p w14:paraId="12E9651E" w14:textId="77777777" w:rsidR="00176851" w:rsidRPr="00177813" w:rsidRDefault="00176851" w:rsidP="00BA62BE">
            <w:pPr>
              <w:spacing w:after="200" w:line="276" w:lineRule="auto"/>
              <w:rPr>
                <w:sz w:val="24"/>
                <w:szCs w:val="24"/>
              </w:rPr>
            </w:pPr>
          </w:p>
        </w:tc>
        <w:tc>
          <w:tcPr>
            <w:tcW w:w="7338" w:type="dxa"/>
          </w:tcPr>
          <w:p w14:paraId="1ED8E4E0" w14:textId="77777777" w:rsidR="00176851" w:rsidRPr="00177813" w:rsidRDefault="00176851" w:rsidP="00BA62BE">
            <w:pPr>
              <w:spacing w:after="200" w:line="276" w:lineRule="auto"/>
              <w:rPr>
                <w:sz w:val="24"/>
                <w:szCs w:val="24"/>
              </w:rPr>
            </w:pPr>
          </w:p>
        </w:tc>
      </w:tr>
      <w:tr w:rsidR="00176851" w:rsidRPr="00177813" w14:paraId="33727A75" w14:textId="77777777" w:rsidTr="00BA62BE">
        <w:tc>
          <w:tcPr>
            <w:tcW w:w="7405" w:type="dxa"/>
          </w:tcPr>
          <w:p w14:paraId="501D3910" w14:textId="77777777" w:rsidR="00176851" w:rsidRPr="00177813" w:rsidRDefault="00176851" w:rsidP="00BA62BE">
            <w:pPr>
              <w:spacing w:after="200" w:line="276" w:lineRule="auto"/>
              <w:rPr>
                <w:sz w:val="24"/>
                <w:szCs w:val="24"/>
              </w:rPr>
            </w:pPr>
          </w:p>
        </w:tc>
        <w:tc>
          <w:tcPr>
            <w:tcW w:w="7338" w:type="dxa"/>
          </w:tcPr>
          <w:p w14:paraId="0C22F089" w14:textId="77777777" w:rsidR="00176851" w:rsidRPr="00177813" w:rsidRDefault="00176851" w:rsidP="00BA62BE">
            <w:pPr>
              <w:spacing w:after="200" w:line="276" w:lineRule="auto"/>
              <w:rPr>
                <w:sz w:val="24"/>
                <w:szCs w:val="24"/>
              </w:rPr>
            </w:pPr>
          </w:p>
        </w:tc>
      </w:tr>
    </w:tbl>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r:id="rId13"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2D21C9B3" w14:textId="77777777" w:rsidR="00177813" w:rsidRPr="00177813" w:rsidRDefault="00177813" w:rsidP="00177813">
      <w:pPr>
        <w:spacing w:after="200" w:line="276" w:lineRule="auto"/>
        <w:ind w:firstLine="3"/>
        <w:jc w:val="center"/>
        <w:rPr>
          <w:rFonts w:cstheme="minorHAnsi"/>
          <w:b/>
          <w:bCs/>
          <w:sz w:val="24"/>
          <w:szCs w:val="24"/>
        </w:rPr>
        <w:sectPr w:rsidR="00177813" w:rsidRPr="00177813" w:rsidSect="009A7E40">
          <w:footerReference w:type="default" r:id="rId14"/>
          <w:headerReference w:type="first" r:id="rId15"/>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14:paraId="13DBB7A1" w14:textId="77777777" w:rsidR="001A56BE" w:rsidRDefault="001A56BE"/>
    <w:sectPr w:rsidR="001A56BE" w:rsidSect="001778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A570" w14:textId="77777777" w:rsidR="00227DDF" w:rsidRDefault="00227DDF">
      <w:pPr>
        <w:spacing w:after="0" w:line="240" w:lineRule="auto"/>
      </w:pPr>
      <w:r>
        <w:separator/>
      </w:r>
    </w:p>
  </w:endnote>
  <w:endnote w:type="continuationSeparator" w:id="0">
    <w:p w14:paraId="18FF06DC" w14:textId="77777777" w:rsidR="00227DDF" w:rsidRDefault="0022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04898"/>
      <w:docPartObj>
        <w:docPartGallery w:val="Page Numbers (Bottom of Page)"/>
        <w:docPartUnique/>
      </w:docPartObj>
    </w:sdtPr>
    <w:sdtEndPr>
      <w:rPr>
        <w:noProof/>
      </w:rPr>
    </w:sdtEndPr>
    <w:sdtContent>
      <w:p w14:paraId="0443A176" w14:textId="77777777" w:rsidR="00C60BD2"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77777777" w:rsidR="00C60BD2" w:rsidRDefault="00C6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248B" w14:textId="77777777" w:rsidR="00227DDF" w:rsidRDefault="00227DDF">
      <w:pPr>
        <w:spacing w:after="0" w:line="240" w:lineRule="auto"/>
      </w:pPr>
      <w:r>
        <w:separator/>
      </w:r>
    </w:p>
  </w:footnote>
  <w:footnote w:type="continuationSeparator" w:id="0">
    <w:p w14:paraId="412A3A4C" w14:textId="77777777" w:rsidR="00227DDF" w:rsidRDefault="0022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8887" w14:textId="77777777" w:rsidR="00C60BD2" w:rsidRPr="009A7E40" w:rsidRDefault="00177813" w:rsidP="009A7E40">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MBRrWJ0bqyZ3B" int2:id="20q2mPv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3C3"/>
    <w:multiLevelType w:val="hybridMultilevel"/>
    <w:tmpl w:val="56B23D22"/>
    <w:lvl w:ilvl="0" w:tplc="08090001">
      <w:start w:val="1"/>
      <w:numFmt w:val="bullet"/>
      <w:lvlText w:val=""/>
      <w:lvlJc w:val="left"/>
      <w:pPr>
        <w:ind w:left="266" w:hanging="360"/>
      </w:pPr>
      <w:rPr>
        <w:rFonts w:ascii="Symbol" w:hAnsi="Symbo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1" w15:restartNumberingAfterBreak="0">
    <w:nsid w:val="2293138D"/>
    <w:multiLevelType w:val="hybridMultilevel"/>
    <w:tmpl w:val="82F226CC"/>
    <w:lvl w:ilvl="0" w:tplc="A2FC18D8">
      <w:numFmt w:val="bullet"/>
      <w:lvlText w:val="–"/>
      <w:lvlJc w:val="left"/>
      <w:pPr>
        <w:ind w:left="266" w:hanging="360"/>
      </w:pPr>
      <w:rPr>
        <w:rFonts w:ascii="Aptos" w:eastAsiaTheme="minorHAnsi" w:hAnsi="Aptos" w:cstheme="minorBidi" w:hint="default"/>
      </w:rPr>
    </w:lvl>
    <w:lvl w:ilvl="1" w:tplc="FFFFFFFF" w:tentative="1">
      <w:start w:val="1"/>
      <w:numFmt w:val="bullet"/>
      <w:lvlText w:val="o"/>
      <w:lvlJc w:val="left"/>
      <w:pPr>
        <w:ind w:left="986" w:hanging="360"/>
      </w:pPr>
      <w:rPr>
        <w:rFonts w:ascii="Courier New" w:hAnsi="Courier New" w:cs="Courier New" w:hint="default"/>
      </w:rPr>
    </w:lvl>
    <w:lvl w:ilvl="2" w:tplc="FFFFFFFF" w:tentative="1">
      <w:start w:val="1"/>
      <w:numFmt w:val="bullet"/>
      <w:lvlText w:val=""/>
      <w:lvlJc w:val="left"/>
      <w:pPr>
        <w:ind w:left="1706" w:hanging="360"/>
      </w:pPr>
      <w:rPr>
        <w:rFonts w:ascii="Wingdings" w:hAnsi="Wingdings" w:hint="default"/>
      </w:rPr>
    </w:lvl>
    <w:lvl w:ilvl="3" w:tplc="FFFFFFFF" w:tentative="1">
      <w:start w:val="1"/>
      <w:numFmt w:val="bullet"/>
      <w:lvlText w:val=""/>
      <w:lvlJc w:val="left"/>
      <w:pPr>
        <w:ind w:left="2426" w:hanging="360"/>
      </w:pPr>
      <w:rPr>
        <w:rFonts w:ascii="Symbol" w:hAnsi="Symbol" w:hint="default"/>
      </w:rPr>
    </w:lvl>
    <w:lvl w:ilvl="4" w:tplc="FFFFFFFF" w:tentative="1">
      <w:start w:val="1"/>
      <w:numFmt w:val="bullet"/>
      <w:lvlText w:val="o"/>
      <w:lvlJc w:val="left"/>
      <w:pPr>
        <w:ind w:left="3146" w:hanging="360"/>
      </w:pPr>
      <w:rPr>
        <w:rFonts w:ascii="Courier New" w:hAnsi="Courier New" w:cs="Courier New" w:hint="default"/>
      </w:rPr>
    </w:lvl>
    <w:lvl w:ilvl="5" w:tplc="FFFFFFFF" w:tentative="1">
      <w:start w:val="1"/>
      <w:numFmt w:val="bullet"/>
      <w:lvlText w:val=""/>
      <w:lvlJc w:val="left"/>
      <w:pPr>
        <w:ind w:left="3866" w:hanging="360"/>
      </w:pPr>
      <w:rPr>
        <w:rFonts w:ascii="Wingdings" w:hAnsi="Wingdings" w:hint="default"/>
      </w:rPr>
    </w:lvl>
    <w:lvl w:ilvl="6" w:tplc="FFFFFFFF" w:tentative="1">
      <w:start w:val="1"/>
      <w:numFmt w:val="bullet"/>
      <w:lvlText w:val=""/>
      <w:lvlJc w:val="left"/>
      <w:pPr>
        <w:ind w:left="4586" w:hanging="360"/>
      </w:pPr>
      <w:rPr>
        <w:rFonts w:ascii="Symbol" w:hAnsi="Symbol" w:hint="default"/>
      </w:rPr>
    </w:lvl>
    <w:lvl w:ilvl="7" w:tplc="FFFFFFFF" w:tentative="1">
      <w:start w:val="1"/>
      <w:numFmt w:val="bullet"/>
      <w:lvlText w:val="o"/>
      <w:lvlJc w:val="left"/>
      <w:pPr>
        <w:ind w:left="5306" w:hanging="360"/>
      </w:pPr>
      <w:rPr>
        <w:rFonts w:ascii="Courier New" w:hAnsi="Courier New" w:cs="Courier New" w:hint="default"/>
      </w:rPr>
    </w:lvl>
    <w:lvl w:ilvl="8" w:tplc="FFFFFFFF" w:tentative="1">
      <w:start w:val="1"/>
      <w:numFmt w:val="bullet"/>
      <w:lvlText w:val=""/>
      <w:lvlJc w:val="left"/>
      <w:pPr>
        <w:ind w:left="6026" w:hanging="360"/>
      </w:pPr>
      <w:rPr>
        <w:rFonts w:ascii="Wingdings" w:hAnsi="Wingdings" w:hint="default"/>
      </w:rPr>
    </w:lvl>
  </w:abstractNum>
  <w:abstractNum w:abstractNumId="2"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6439C"/>
    <w:multiLevelType w:val="hybridMultilevel"/>
    <w:tmpl w:val="5C78E50A"/>
    <w:lvl w:ilvl="0" w:tplc="6D34DC8A">
      <w:start w:val="1"/>
      <w:numFmt w:val="decimal"/>
      <w:lvlText w:val="%1)"/>
      <w:lvlJc w:val="left"/>
      <w:pPr>
        <w:ind w:left="-94" w:hanging="360"/>
      </w:pPr>
      <w:rPr>
        <w:rFonts w:hint="default"/>
      </w:rPr>
    </w:lvl>
    <w:lvl w:ilvl="1" w:tplc="08090019" w:tentative="1">
      <w:start w:val="1"/>
      <w:numFmt w:val="lowerLetter"/>
      <w:lvlText w:val="%2."/>
      <w:lvlJc w:val="left"/>
      <w:pPr>
        <w:ind w:left="626" w:hanging="360"/>
      </w:pPr>
    </w:lvl>
    <w:lvl w:ilvl="2" w:tplc="0809001B" w:tentative="1">
      <w:start w:val="1"/>
      <w:numFmt w:val="lowerRoman"/>
      <w:lvlText w:val="%3."/>
      <w:lvlJc w:val="right"/>
      <w:pPr>
        <w:ind w:left="1346" w:hanging="180"/>
      </w:pPr>
    </w:lvl>
    <w:lvl w:ilvl="3" w:tplc="0809000F" w:tentative="1">
      <w:start w:val="1"/>
      <w:numFmt w:val="decimal"/>
      <w:lvlText w:val="%4."/>
      <w:lvlJc w:val="left"/>
      <w:pPr>
        <w:ind w:left="2066" w:hanging="360"/>
      </w:pPr>
    </w:lvl>
    <w:lvl w:ilvl="4" w:tplc="08090019" w:tentative="1">
      <w:start w:val="1"/>
      <w:numFmt w:val="lowerLetter"/>
      <w:lvlText w:val="%5."/>
      <w:lvlJc w:val="left"/>
      <w:pPr>
        <w:ind w:left="2786" w:hanging="360"/>
      </w:pPr>
    </w:lvl>
    <w:lvl w:ilvl="5" w:tplc="0809001B" w:tentative="1">
      <w:start w:val="1"/>
      <w:numFmt w:val="lowerRoman"/>
      <w:lvlText w:val="%6."/>
      <w:lvlJc w:val="right"/>
      <w:pPr>
        <w:ind w:left="3506" w:hanging="180"/>
      </w:pPr>
    </w:lvl>
    <w:lvl w:ilvl="6" w:tplc="0809000F" w:tentative="1">
      <w:start w:val="1"/>
      <w:numFmt w:val="decimal"/>
      <w:lvlText w:val="%7."/>
      <w:lvlJc w:val="left"/>
      <w:pPr>
        <w:ind w:left="4226" w:hanging="360"/>
      </w:pPr>
    </w:lvl>
    <w:lvl w:ilvl="7" w:tplc="08090019" w:tentative="1">
      <w:start w:val="1"/>
      <w:numFmt w:val="lowerLetter"/>
      <w:lvlText w:val="%8."/>
      <w:lvlJc w:val="left"/>
      <w:pPr>
        <w:ind w:left="4946" w:hanging="360"/>
      </w:pPr>
    </w:lvl>
    <w:lvl w:ilvl="8" w:tplc="0809001B" w:tentative="1">
      <w:start w:val="1"/>
      <w:numFmt w:val="lowerRoman"/>
      <w:lvlText w:val="%9."/>
      <w:lvlJc w:val="right"/>
      <w:pPr>
        <w:ind w:left="5666" w:hanging="180"/>
      </w:pPr>
    </w:lvl>
  </w:abstractNum>
  <w:num w:numId="1" w16cid:durableId="194781707">
    <w:abstractNumId w:val="2"/>
  </w:num>
  <w:num w:numId="2" w16cid:durableId="1414164351">
    <w:abstractNumId w:val="3"/>
  </w:num>
  <w:num w:numId="3" w16cid:durableId="158817405">
    <w:abstractNumId w:val="0"/>
  </w:num>
  <w:num w:numId="4" w16cid:durableId="113726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1363B"/>
    <w:rsid w:val="00037EAD"/>
    <w:rsid w:val="0004358E"/>
    <w:rsid w:val="000660A5"/>
    <w:rsid w:val="000A2FD7"/>
    <w:rsid w:val="000D0D16"/>
    <w:rsid w:val="00125854"/>
    <w:rsid w:val="001721ED"/>
    <w:rsid w:val="00176851"/>
    <w:rsid w:val="00177813"/>
    <w:rsid w:val="00197C05"/>
    <w:rsid w:val="001A278C"/>
    <w:rsid w:val="001A56BE"/>
    <w:rsid w:val="001D4E34"/>
    <w:rsid w:val="00227DDF"/>
    <w:rsid w:val="00266E0E"/>
    <w:rsid w:val="00276D52"/>
    <w:rsid w:val="00290F0C"/>
    <w:rsid w:val="002B2816"/>
    <w:rsid w:val="002E304D"/>
    <w:rsid w:val="002E4193"/>
    <w:rsid w:val="00321FF1"/>
    <w:rsid w:val="003662EF"/>
    <w:rsid w:val="003728E2"/>
    <w:rsid w:val="0037715A"/>
    <w:rsid w:val="00396A9A"/>
    <w:rsid w:val="003E1425"/>
    <w:rsid w:val="004313C6"/>
    <w:rsid w:val="00433DF1"/>
    <w:rsid w:val="004377E9"/>
    <w:rsid w:val="004464EB"/>
    <w:rsid w:val="00451526"/>
    <w:rsid w:val="004626D5"/>
    <w:rsid w:val="00463338"/>
    <w:rsid w:val="00481DB2"/>
    <w:rsid w:val="0053345F"/>
    <w:rsid w:val="00556051"/>
    <w:rsid w:val="005C78BF"/>
    <w:rsid w:val="005D718F"/>
    <w:rsid w:val="006041F4"/>
    <w:rsid w:val="00646E06"/>
    <w:rsid w:val="00675276"/>
    <w:rsid w:val="006956D1"/>
    <w:rsid w:val="006D46BE"/>
    <w:rsid w:val="00700F92"/>
    <w:rsid w:val="00730EE4"/>
    <w:rsid w:val="00753448"/>
    <w:rsid w:val="00761AEE"/>
    <w:rsid w:val="007C132E"/>
    <w:rsid w:val="008043AD"/>
    <w:rsid w:val="008617F4"/>
    <w:rsid w:val="00873352"/>
    <w:rsid w:val="00884045"/>
    <w:rsid w:val="00887D81"/>
    <w:rsid w:val="00954DA1"/>
    <w:rsid w:val="009B17F0"/>
    <w:rsid w:val="00A4396B"/>
    <w:rsid w:val="00A76909"/>
    <w:rsid w:val="00AC76A9"/>
    <w:rsid w:val="00B02185"/>
    <w:rsid w:val="00B41639"/>
    <w:rsid w:val="00B44507"/>
    <w:rsid w:val="00B64482"/>
    <w:rsid w:val="00B91B8B"/>
    <w:rsid w:val="00BE3E67"/>
    <w:rsid w:val="00BF70F1"/>
    <w:rsid w:val="00C02B41"/>
    <w:rsid w:val="00C10016"/>
    <w:rsid w:val="00C164C3"/>
    <w:rsid w:val="00C21921"/>
    <w:rsid w:val="00C60BD2"/>
    <w:rsid w:val="00C9147E"/>
    <w:rsid w:val="00CA2C52"/>
    <w:rsid w:val="00CB17FC"/>
    <w:rsid w:val="00CC389D"/>
    <w:rsid w:val="00CD2679"/>
    <w:rsid w:val="00CE071C"/>
    <w:rsid w:val="00D250C4"/>
    <w:rsid w:val="00D5178B"/>
    <w:rsid w:val="00D55846"/>
    <w:rsid w:val="00D80CD6"/>
    <w:rsid w:val="00D8429C"/>
    <w:rsid w:val="00DB3282"/>
    <w:rsid w:val="00DC58A4"/>
    <w:rsid w:val="00DE3618"/>
    <w:rsid w:val="00DE763B"/>
    <w:rsid w:val="00DF1FA2"/>
    <w:rsid w:val="00E114EE"/>
    <w:rsid w:val="00E20ECC"/>
    <w:rsid w:val="00E42103"/>
    <w:rsid w:val="00EA15BB"/>
    <w:rsid w:val="00ED1EFE"/>
    <w:rsid w:val="00ED7BD0"/>
    <w:rsid w:val="00F05D26"/>
    <w:rsid w:val="00FC33EB"/>
    <w:rsid w:val="00FC5707"/>
    <w:rsid w:val="00FE3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E069DEB4-F008-4CC8-BCDD-E7630A3E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paragraph" w:styleId="ListParagraph">
    <w:name w:val="List Paragraph"/>
    <w:basedOn w:val="Normal"/>
    <w:uiPriority w:val="34"/>
    <w:qFormat/>
    <w:rsid w:val="00DC58A4"/>
    <w:pPr>
      <w:ind w:left="720"/>
      <w:contextualSpacing/>
    </w:pPr>
  </w:style>
  <w:style w:type="character" w:styleId="CommentReference">
    <w:name w:val="annotation reference"/>
    <w:basedOn w:val="DefaultParagraphFont"/>
    <w:uiPriority w:val="99"/>
    <w:semiHidden/>
    <w:unhideWhenUsed/>
    <w:rsid w:val="000660A5"/>
    <w:rPr>
      <w:sz w:val="16"/>
      <w:szCs w:val="16"/>
    </w:rPr>
  </w:style>
  <w:style w:type="paragraph" w:styleId="CommentText">
    <w:name w:val="annotation text"/>
    <w:basedOn w:val="Normal"/>
    <w:link w:val="CommentTextChar"/>
    <w:uiPriority w:val="99"/>
    <w:unhideWhenUsed/>
    <w:rsid w:val="000660A5"/>
    <w:pPr>
      <w:spacing w:line="240" w:lineRule="auto"/>
    </w:pPr>
    <w:rPr>
      <w:sz w:val="20"/>
      <w:szCs w:val="20"/>
    </w:rPr>
  </w:style>
  <w:style w:type="character" w:customStyle="1" w:styleId="CommentTextChar">
    <w:name w:val="Comment Text Char"/>
    <w:basedOn w:val="DefaultParagraphFont"/>
    <w:link w:val="CommentText"/>
    <w:uiPriority w:val="99"/>
    <w:rsid w:val="000660A5"/>
    <w:rPr>
      <w:sz w:val="20"/>
      <w:szCs w:val="20"/>
    </w:rPr>
  </w:style>
  <w:style w:type="paragraph" w:styleId="CommentSubject">
    <w:name w:val="annotation subject"/>
    <w:basedOn w:val="CommentText"/>
    <w:next w:val="CommentText"/>
    <w:link w:val="CommentSubjectChar"/>
    <w:uiPriority w:val="99"/>
    <w:semiHidden/>
    <w:unhideWhenUsed/>
    <w:rsid w:val="000660A5"/>
    <w:rPr>
      <w:b/>
      <w:bCs/>
    </w:rPr>
  </w:style>
  <w:style w:type="character" w:customStyle="1" w:styleId="CommentSubjectChar">
    <w:name w:val="Comment Subject Char"/>
    <w:basedOn w:val="CommentTextChar"/>
    <w:link w:val="CommentSubject"/>
    <w:uiPriority w:val="99"/>
    <w:semiHidden/>
    <w:rsid w:val="00066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i@uw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uwe.ac.uk/sites/equality-and-diversity/Documents/Equality%20analysis/Equality%20Relevance%20Chart%20for%20Equality%20Analysis%202019.doc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uwe.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cs.uwe.ac.uk/sites/equality-and-diversity/_layouts/15/download.aspx?SourceUrl=https://docs.uwe.ac.uk/sites/equality-and-diversity/Documents/Equality%20analysis/Equality%20analysis%20guidance.docx"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1721ED"/>
    <w:rsid w:val="00446F8A"/>
    <w:rsid w:val="004626D5"/>
    <w:rsid w:val="00655C98"/>
    <w:rsid w:val="00675276"/>
    <w:rsid w:val="007A6E8F"/>
    <w:rsid w:val="008B550A"/>
    <w:rsid w:val="00BE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e97d9c-20dd-44d8-abf7-2c181dd3ffbf" xsi:nil="true"/>
    <lcf76f155ced4ddcb4097134ff3c332f xmlns="f1c8c9c5-3fa8-49ba-b084-f38295a5ba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84AEE2446794A976DB04EC41EBF8D" ma:contentTypeVersion="10" ma:contentTypeDescription="Create a new document." ma:contentTypeScope="" ma:versionID="ce085b19dfcfc304f89a0b26b51f1e95">
  <xsd:schema xmlns:xsd="http://www.w3.org/2001/XMLSchema" xmlns:xs="http://www.w3.org/2001/XMLSchema" xmlns:p="http://schemas.microsoft.com/office/2006/metadata/properties" xmlns:ns2="f1c8c9c5-3fa8-49ba-b084-f38295a5ba24" xmlns:ns3="51e97d9c-20dd-44d8-abf7-2c181dd3ffbf" targetNamespace="http://schemas.microsoft.com/office/2006/metadata/properties" ma:root="true" ma:fieldsID="09de4bb096b612ed6e722448417602af" ns2:_="" ns3:_="">
    <xsd:import namespace="f1c8c9c5-3fa8-49ba-b084-f38295a5ba24"/>
    <xsd:import namespace="51e97d9c-20dd-44d8-abf7-2c181dd3f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8c9c5-3fa8-49ba-b084-f38295a5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97d9c-20dd-44d8-abf7-2c181dd3ff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b509d5-1107-4dd2-a105-6fb87d761d03}" ma:internalName="TaxCatchAll" ma:showField="CatchAllData" ma:web="51e97d9c-20dd-44d8-abf7-2c181dd3f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767B-E9D7-43FD-9D45-9C85B7745784}">
  <ds:schemaRefs>
    <ds:schemaRef ds:uri="http://schemas.microsoft.com/office/2006/documentManagement/types"/>
    <ds:schemaRef ds:uri="http://purl.org/dc/terms/"/>
    <ds:schemaRef ds:uri="http://purl.org/dc/elements/1.1/"/>
    <ds:schemaRef ds:uri="http://schemas.microsoft.com/office/infopath/2007/PartnerControls"/>
    <ds:schemaRef ds:uri="f1c8c9c5-3fa8-49ba-b084-f38295a5ba24"/>
    <ds:schemaRef ds:uri="http://www.w3.org/XML/1998/namespace"/>
    <ds:schemaRef ds:uri="http://schemas.microsoft.com/office/2006/metadata/properties"/>
    <ds:schemaRef ds:uri="http://schemas.openxmlformats.org/package/2006/metadata/core-properties"/>
    <ds:schemaRef ds:uri="51e97d9c-20dd-44d8-abf7-2c181dd3ffbf"/>
    <ds:schemaRef ds:uri="http://purl.org/dc/dcmitype/"/>
  </ds:schemaRefs>
</ds:datastoreItem>
</file>

<file path=customXml/itemProps2.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3.xml><?xml version="1.0" encoding="utf-8"?>
<ds:datastoreItem xmlns:ds="http://schemas.openxmlformats.org/officeDocument/2006/customXml" ds:itemID="{827419ED-56C1-4980-90C8-21A2E64B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8c9c5-3fa8-49ba-b084-f38295a5ba24"/>
    <ds:schemaRef ds:uri="51e97d9c-20dd-44d8-abf7-2c181dd3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2238</Words>
  <Characters>12763</Characters>
  <Application>Microsoft Office Word</Application>
  <DocSecurity>0</DocSecurity>
  <Lines>106</Lines>
  <Paragraphs>29</Paragraphs>
  <ScaleCrop>false</ScaleCrop>
  <Company>UWE Bristol</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Roshin Chummun</cp:lastModifiedBy>
  <cp:revision>2</cp:revision>
  <dcterms:created xsi:type="dcterms:W3CDTF">2025-09-29T15:21:00Z</dcterms:created>
  <dcterms:modified xsi:type="dcterms:W3CDTF">2025-09-29T15:21:00Z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0x01010030684AEE2446794A976DB04EC41EBF8D</vt:lpwstr>
  </property>
  <property fmtid="{D5CDD505-2E9C-101B-9397-08002B2CF9AE}" pid="3" name="_dlc_DocIdItemGuid">
    <vt:lpwstr>844294ff-3997-42cd-b989-a2390112986a</vt:lpwstr>
  </property>
  <property fmtid="{D5CDD505-2E9C-101B-9397-08002B2CF9AE}" pid="4" name="_ExtendedDescription">
    <vt:lpwstr/>
  </property>
  <property fmtid="{D5CDD505-2E9C-101B-9397-08002B2CF9AE}" pid="5" name="MediaServiceImageTags">
    <vt:lpwstr/>
  </property>
</Properties>
</file>